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7426" w:tblpY="3"/>
        <w:tblOverlap w:val="never"/>
        <w:tblW w:w="3031" w:type="dxa"/>
        <w:tblInd w:w="0" w:type="dxa"/>
        <w:tblLook w:val="04A0" w:firstRow="1" w:lastRow="0" w:firstColumn="1" w:lastColumn="0" w:noHBand="0" w:noVBand="1"/>
      </w:tblPr>
      <w:tblGrid>
        <w:gridCol w:w="1514"/>
        <w:gridCol w:w="1517"/>
      </w:tblGrid>
      <w:tr w:rsidR="008344F6" w14:paraId="1B796A77" w14:textId="77777777">
        <w:trPr>
          <w:trHeight w:val="205"/>
        </w:trPr>
        <w:tc>
          <w:tcPr>
            <w:tcW w:w="1514" w:type="dxa"/>
            <w:tcBorders>
              <w:top w:val="nil"/>
              <w:left w:val="nil"/>
              <w:bottom w:val="nil"/>
              <w:right w:val="nil"/>
            </w:tcBorders>
          </w:tcPr>
          <w:p w14:paraId="40279DB3" w14:textId="77777777" w:rsidR="008344F6" w:rsidRDefault="004F591C">
            <w:pPr>
              <w:spacing w:after="0"/>
              <w:ind w:left="842" w:firstLine="0"/>
            </w:pPr>
            <w:r>
              <w:rPr>
                <w:sz w:val="16"/>
              </w:rPr>
              <w:t xml:space="preserve">Series: </w:t>
            </w:r>
          </w:p>
        </w:tc>
        <w:tc>
          <w:tcPr>
            <w:tcW w:w="1516" w:type="dxa"/>
            <w:tcBorders>
              <w:top w:val="nil"/>
              <w:left w:val="nil"/>
              <w:bottom w:val="nil"/>
              <w:right w:val="nil"/>
            </w:tcBorders>
          </w:tcPr>
          <w:p w14:paraId="4AD9AAC7" w14:textId="77777777" w:rsidR="008344F6" w:rsidRDefault="004F591C">
            <w:pPr>
              <w:spacing w:after="0"/>
              <w:ind w:left="0" w:firstLine="0"/>
              <w:jc w:val="both"/>
            </w:pPr>
            <w:r>
              <w:rPr>
                <w:sz w:val="16"/>
              </w:rPr>
              <w:t xml:space="preserve">Finance &amp; Accounting </w:t>
            </w:r>
          </w:p>
        </w:tc>
      </w:tr>
      <w:tr w:rsidR="008344F6" w14:paraId="7A019853" w14:textId="77777777">
        <w:trPr>
          <w:trHeight w:val="221"/>
        </w:trPr>
        <w:tc>
          <w:tcPr>
            <w:tcW w:w="1514" w:type="dxa"/>
            <w:tcBorders>
              <w:top w:val="nil"/>
              <w:left w:val="nil"/>
              <w:bottom w:val="nil"/>
              <w:right w:val="nil"/>
            </w:tcBorders>
          </w:tcPr>
          <w:p w14:paraId="1BF6065D" w14:textId="77777777" w:rsidR="008344F6" w:rsidRDefault="004F591C">
            <w:pPr>
              <w:spacing w:after="0"/>
              <w:ind w:left="314" w:firstLine="0"/>
            </w:pPr>
            <w:r>
              <w:rPr>
                <w:sz w:val="16"/>
              </w:rPr>
              <w:t xml:space="preserve">Effective Date: </w:t>
            </w:r>
          </w:p>
        </w:tc>
        <w:tc>
          <w:tcPr>
            <w:tcW w:w="1516" w:type="dxa"/>
            <w:tcBorders>
              <w:top w:val="nil"/>
              <w:left w:val="nil"/>
              <w:bottom w:val="nil"/>
              <w:right w:val="nil"/>
            </w:tcBorders>
          </w:tcPr>
          <w:p w14:paraId="485EDAED" w14:textId="67300688" w:rsidR="008344F6" w:rsidRDefault="004F591C">
            <w:pPr>
              <w:spacing w:after="0"/>
              <w:ind w:left="0" w:firstLine="0"/>
            </w:pPr>
            <w:r>
              <w:rPr>
                <w:sz w:val="16"/>
              </w:rPr>
              <w:t xml:space="preserve">September 1, </w:t>
            </w:r>
            <w:r w:rsidR="00E548F3">
              <w:rPr>
                <w:sz w:val="16"/>
              </w:rPr>
              <w:t>2005</w:t>
            </w:r>
          </w:p>
        </w:tc>
      </w:tr>
      <w:tr w:rsidR="008344F6" w14:paraId="44E161BD" w14:textId="77777777">
        <w:trPr>
          <w:trHeight w:val="194"/>
        </w:trPr>
        <w:tc>
          <w:tcPr>
            <w:tcW w:w="1514" w:type="dxa"/>
            <w:tcBorders>
              <w:top w:val="nil"/>
              <w:left w:val="nil"/>
              <w:bottom w:val="nil"/>
              <w:right w:val="nil"/>
            </w:tcBorders>
          </w:tcPr>
          <w:p w14:paraId="2A3DAD60" w14:textId="77777777" w:rsidR="008344F6" w:rsidRDefault="004F591C">
            <w:pPr>
              <w:spacing w:after="0"/>
              <w:ind w:left="326" w:firstLine="0"/>
            </w:pPr>
            <w:r>
              <w:rPr>
                <w:sz w:val="16"/>
              </w:rPr>
              <w:t xml:space="preserve">Revision Date: </w:t>
            </w:r>
          </w:p>
        </w:tc>
        <w:tc>
          <w:tcPr>
            <w:tcW w:w="1516" w:type="dxa"/>
            <w:tcBorders>
              <w:top w:val="nil"/>
              <w:left w:val="nil"/>
              <w:bottom w:val="nil"/>
              <w:right w:val="nil"/>
            </w:tcBorders>
          </w:tcPr>
          <w:p w14:paraId="1B311438" w14:textId="77777777" w:rsidR="008344F6" w:rsidRDefault="004F591C">
            <w:pPr>
              <w:spacing w:after="0"/>
              <w:ind w:left="0" w:firstLine="0"/>
            </w:pPr>
            <w:r>
              <w:rPr>
                <w:sz w:val="16"/>
              </w:rPr>
              <w:t xml:space="preserve">October 1, 2021 </w:t>
            </w:r>
          </w:p>
        </w:tc>
      </w:tr>
      <w:tr w:rsidR="008344F6" w14:paraId="48F2D6B8" w14:textId="77777777">
        <w:trPr>
          <w:trHeight w:val="368"/>
        </w:trPr>
        <w:tc>
          <w:tcPr>
            <w:tcW w:w="1514" w:type="dxa"/>
            <w:tcBorders>
              <w:top w:val="nil"/>
              <w:left w:val="nil"/>
              <w:bottom w:val="nil"/>
              <w:right w:val="nil"/>
            </w:tcBorders>
          </w:tcPr>
          <w:p w14:paraId="156F6EBF" w14:textId="77777777" w:rsidR="008344F6" w:rsidRDefault="004F591C">
            <w:pPr>
              <w:spacing w:after="0"/>
              <w:ind w:left="0" w:firstLine="0"/>
            </w:pPr>
            <w:r>
              <w:rPr>
                <w:sz w:val="16"/>
              </w:rPr>
              <w:t xml:space="preserve">Responsible Office: </w:t>
            </w:r>
          </w:p>
        </w:tc>
        <w:tc>
          <w:tcPr>
            <w:tcW w:w="1516" w:type="dxa"/>
            <w:tcBorders>
              <w:top w:val="nil"/>
              <w:left w:val="nil"/>
              <w:bottom w:val="nil"/>
              <w:right w:val="nil"/>
            </w:tcBorders>
          </w:tcPr>
          <w:p w14:paraId="6EF85C1E" w14:textId="77777777" w:rsidR="008344F6" w:rsidRDefault="004F591C">
            <w:pPr>
              <w:spacing w:after="0"/>
              <w:ind w:left="0" w:firstLine="0"/>
            </w:pPr>
            <w:r>
              <w:rPr>
                <w:sz w:val="16"/>
              </w:rPr>
              <w:t xml:space="preserve">FAS Accounting Services </w:t>
            </w:r>
          </w:p>
        </w:tc>
      </w:tr>
    </w:tbl>
    <w:p w14:paraId="2724395F" w14:textId="77777777" w:rsidR="008344F6" w:rsidRDefault="004F591C">
      <w:pPr>
        <w:spacing w:after="0" w:line="216" w:lineRule="auto"/>
        <w:ind w:left="307" w:firstLine="0"/>
      </w:pPr>
      <w:r>
        <w:rPr>
          <w:noProof/>
        </w:rPr>
        <w:drawing>
          <wp:anchor distT="0" distB="0" distL="114300" distR="114300" simplePos="0" relativeHeight="251658240" behindDoc="0" locked="0" layoutInCell="1" allowOverlap="0" wp14:anchorId="2A91D9E5" wp14:editId="3860FD7C">
            <wp:simplePos x="0" y="0"/>
            <wp:positionH relativeFrom="column">
              <wp:posOffset>194946</wp:posOffset>
            </wp:positionH>
            <wp:positionV relativeFrom="paragraph">
              <wp:posOffset>-8289</wp:posOffset>
            </wp:positionV>
            <wp:extent cx="581462" cy="688340"/>
            <wp:effectExtent l="0" t="0" r="0" b="0"/>
            <wp:wrapSquare wrapText="bothSides"/>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581462" cy="688340"/>
                    </a:xfrm>
                    <a:prstGeom prst="rect">
                      <a:avLst/>
                    </a:prstGeom>
                  </pic:spPr>
                </pic:pic>
              </a:graphicData>
            </a:graphic>
          </wp:anchor>
        </w:drawing>
      </w:r>
      <w:r>
        <w:rPr>
          <w:b/>
          <w:sz w:val="22"/>
        </w:rPr>
        <w:t xml:space="preserve">FACULTY OF ARTS AND SCIENCES OFFICE OF FINANCE HARVARD UNIVERSITY </w:t>
      </w:r>
    </w:p>
    <w:p w14:paraId="33B9B3E6" w14:textId="77777777" w:rsidR="008344F6" w:rsidRDefault="004F591C">
      <w:pPr>
        <w:spacing w:after="171"/>
        <w:ind w:left="307" w:firstLine="0"/>
      </w:pPr>
      <w:r>
        <w:rPr>
          <w:sz w:val="10"/>
        </w:rPr>
        <w:t xml:space="preserve"> </w:t>
      </w:r>
    </w:p>
    <w:p w14:paraId="763755D8" w14:textId="77777777" w:rsidR="008344F6" w:rsidRDefault="004F591C">
      <w:pPr>
        <w:pStyle w:val="Heading1"/>
      </w:pPr>
      <w:r>
        <w:t xml:space="preserve">SPENDING POLICY FOR FACULTY </w:t>
      </w:r>
    </w:p>
    <w:p w14:paraId="43E530C3" w14:textId="77777777" w:rsidR="008344F6" w:rsidRDefault="004F591C">
      <w:pPr>
        <w:tabs>
          <w:tab w:val="center" w:pos="1222"/>
          <w:tab w:val="center" w:pos="3297"/>
        </w:tabs>
        <w:spacing w:after="0"/>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rPr>
          <w:b/>
          <w:sz w:val="28"/>
        </w:rPr>
        <w:t xml:space="preserve">START-UP AND OTHER FAS </w:t>
      </w:r>
    </w:p>
    <w:p w14:paraId="4A8C74E4" w14:textId="77777777" w:rsidR="008344F6" w:rsidRDefault="004F591C">
      <w:pPr>
        <w:spacing w:after="0"/>
        <w:ind w:left="1577"/>
      </w:pPr>
      <w:r>
        <w:rPr>
          <w:b/>
          <w:sz w:val="28"/>
        </w:rPr>
        <w:t xml:space="preserve">FACULTY SUPPORT FUNDS </w:t>
      </w:r>
    </w:p>
    <w:p w14:paraId="096D36AF" w14:textId="77777777" w:rsidR="008344F6" w:rsidRDefault="004F591C">
      <w:pPr>
        <w:spacing w:after="0"/>
        <w:ind w:left="0" w:firstLine="0"/>
      </w:pPr>
      <w:r>
        <w:rPr>
          <w:rFonts w:ascii="Times New Roman" w:eastAsia="Times New Roman" w:hAnsi="Times New Roman" w:cs="Times New Roman"/>
        </w:rPr>
        <w:t xml:space="preserve"> </w:t>
      </w:r>
    </w:p>
    <w:p w14:paraId="3DD7819C" w14:textId="77777777" w:rsidR="008344F6" w:rsidRDefault="004F591C">
      <w:pPr>
        <w:spacing w:after="0"/>
        <w:ind w:left="0" w:firstLine="0"/>
      </w:pPr>
      <w:r>
        <w:rPr>
          <w:rFonts w:ascii="Times New Roman" w:eastAsia="Times New Roman" w:hAnsi="Times New Roman" w:cs="Times New Roman"/>
        </w:rPr>
        <w:t xml:space="preserve"> </w:t>
      </w:r>
    </w:p>
    <w:p w14:paraId="0F9413B1" w14:textId="77777777" w:rsidR="008344F6" w:rsidRDefault="004F591C">
      <w:pPr>
        <w:spacing w:after="116"/>
        <w:ind w:left="0" w:firstLine="0"/>
      </w:pPr>
      <w:r>
        <w:rPr>
          <w:rFonts w:ascii="Times New Roman" w:eastAsia="Times New Roman" w:hAnsi="Times New Roman" w:cs="Times New Roman"/>
          <w:sz w:val="18"/>
        </w:rPr>
        <w:t xml:space="preserve"> </w:t>
      </w:r>
    </w:p>
    <w:p w14:paraId="3EC434DC" w14:textId="77777777" w:rsidR="008344F6" w:rsidRDefault="004F591C">
      <w:pPr>
        <w:spacing w:after="63"/>
        <w:ind w:left="295"/>
      </w:pPr>
      <w:r>
        <w:rPr>
          <w:b/>
          <w:sz w:val="22"/>
          <w:u w:val="single" w:color="000000"/>
        </w:rPr>
        <w:t>Contents:</w:t>
      </w:r>
      <w:r>
        <w:rPr>
          <w:b/>
          <w:sz w:val="22"/>
        </w:rPr>
        <w:t xml:space="preserve"> </w:t>
      </w:r>
    </w:p>
    <w:p w14:paraId="082CA14F" w14:textId="77777777" w:rsidR="008344F6" w:rsidRDefault="004F591C">
      <w:pPr>
        <w:numPr>
          <w:ilvl w:val="0"/>
          <w:numId w:val="1"/>
        </w:numPr>
        <w:ind w:left="1007" w:hanging="722"/>
      </w:pPr>
      <w:r>
        <w:t xml:space="preserve">Policy Summary and Purpose </w:t>
      </w:r>
    </w:p>
    <w:p w14:paraId="33350ED2" w14:textId="77777777" w:rsidR="008344F6" w:rsidRDefault="004F591C">
      <w:pPr>
        <w:numPr>
          <w:ilvl w:val="0"/>
          <w:numId w:val="1"/>
        </w:numPr>
        <w:ind w:left="1007" w:hanging="722"/>
      </w:pPr>
      <w:r>
        <w:t xml:space="preserve">Policy Statement </w:t>
      </w:r>
    </w:p>
    <w:p w14:paraId="15864DD5" w14:textId="77777777" w:rsidR="008344F6" w:rsidRDefault="004F591C">
      <w:pPr>
        <w:numPr>
          <w:ilvl w:val="1"/>
          <w:numId w:val="1"/>
        </w:numPr>
        <w:ind w:hanging="312"/>
      </w:pPr>
      <w:r>
        <w:t xml:space="preserve">Durable Assets </w:t>
      </w:r>
    </w:p>
    <w:p w14:paraId="5C64990D" w14:textId="77777777" w:rsidR="008344F6" w:rsidRDefault="004F591C">
      <w:pPr>
        <w:numPr>
          <w:ilvl w:val="1"/>
          <w:numId w:val="1"/>
        </w:numPr>
        <w:ind w:hanging="312"/>
      </w:pPr>
      <w:r>
        <w:t xml:space="preserve">Unallowable Durable Assets </w:t>
      </w:r>
    </w:p>
    <w:p w14:paraId="1A507C2A" w14:textId="77777777" w:rsidR="008344F6" w:rsidRDefault="004F591C">
      <w:pPr>
        <w:numPr>
          <w:ilvl w:val="1"/>
          <w:numId w:val="1"/>
        </w:numPr>
        <w:ind w:hanging="312"/>
      </w:pPr>
      <w:r>
        <w:t xml:space="preserve">Supplies </w:t>
      </w:r>
    </w:p>
    <w:p w14:paraId="1CB81513" w14:textId="77777777" w:rsidR="008344F6" w:rsidRDefault="004F591C">
      <w:pPr>
        <w:numPr>
          <w:ilvl w:val="1"/>
          <w:numId w:val="1"/>
        </w:numPr>
        <w:ind w:hanging="312"/>
      </w:pPr>
      <w:r>
        <w:t xml:space="preserve">Salary and Wages </w:t>
      </w:r>
    </w:p>
    <w:p w14:paraId="5D0D4E1F" w14:textId="77777777" w:rsidR="008344F6" w:rsidRDefault="004F591C">
      <w:pPr>
        <w:numPr>
          <w:ilvl w:val="1"/>
          <w:numId w:val="1"/>
        </w:numPr>
        <w:ind w:hanging="312"/>
      </w:pPr>
      <w:r>
        <w:t xml:space="preserve">Travel and Business Entertainment </w:t>
      </w:r>
    </w:p>
    <w:p w14:paraId="627ADB65" w14:textId="77777777" w:rsidR="008344F6" w:rsidRDefault="004F591C">
      <w:pPr>
        <w:numPr>
          <w:ilvl w:val="1"/>
          <w:numId w:val="1"/>
        </w:numPr>
        <w:ind w:hanging="312"/>
      </w:pPr>
      <w:r>
        <w:t xml:space="preserve">Consultants/Service Contracts </w:t>
      </w:r>
    </w:p>
    <w:p w14:paraId="1E3F8D42" w14:textId="77777777" w:rsidR="008344F6" w:rsidRDefault="004F591C">
      <w:pPr>
        <w:numPr>
          <w:ilvl w:val="1"/>
          <w:numId w:val="1"/>
        </w:numPr>
        <w:ind w:hanging="312"/>
      </w:pPr>
      <w:r>
        <w:t xml:space="preserve">Gifts and Other </w:t>
      </w:r>
    </w:p>
    <w:p w14:paraId="071ACF1B" w14:textId="77777777" w:rsidR="008344F6" w:rsidRDefault="004F591C">
      <w:pPr>
        <w:numPr>
          <w:ilvl w:val="1"/>
          <w:numId w:val="1"/>
        </w:numPr>
        <w:ind w:hanging="312"/>
      </w:pPr>
      <w:r>
        <w:t xml:space="preserve">Deficits </w:t>
      </w:r>
    </w:p>
    <w:p w14:paraId="2A880624" w14:textId="77777777" w:rsidR="008344F6" w:rsidRDefault="004F591C">
      <w:pPr>
        <w:numPr>
          <w:ilvl w:val="0"/>
          <w:numId w:val="1"/>
        </w:numPr>
        <w:ind w:left="1007" w:hanging="722"/>
      </w:pPr>
      <w:r>
        <w:t xml:space="preserve">Roles and Responsibilities </w:t>
      </w:r>
    </w:p>
    <w:p w14:paraId="3F6069EC" w14:textId="77777777" w:rsidR="008344F6" w:rsidRDefault="004F591C">
      <w:pPr>
        <w:numPr>
          <w:ilvl w:val="0"/>
          <w:numId w:val="1"/>
        </w:numPr>
        <w:ind w:left="1007" w:hanging="722"/>
      </w:pPr>
      <w:r>
        <w:t xml:space="preserve">Contacts </w:t>
      </w:r>
    </w:p>
    <w:p w14:paraId="70CC4A37" w14:textId="77777777" w:rsidR="008344F6" w:rsidRDefault="004F591C">
      <w:pPr>
        <w:spacing w:after="0"/>
        <w:ind w:left="0" w:firstLine="0"/>
      </w:pPr>
      <w:r>
        <w:rPr>
          <w:sz w:val="28"/>
        </w:rPr>
        <w:t xml:space="preserve"> </w:t>
      </w:r>
    </w:p>
    <w:p w14:paraId="684804C2" w14:textId="77777777" w:rsidR="008344F6" w:rsidRDefault="004F591C">
      <w:pPr>
        <w:spacing w:after="0"/>
        <w:ind w:left="201" w:right="-3888" w:firstLine="0"/>
      </w:pPr>
      <w:r>
        <w:rPr>
          <w:rFonts w:ascii="Calibri" w:eastAsia="Calibri" w:hAnsi="Calibri" w:cs="Calibri"/>
          <w:noProof/>
          <w:sz w:val="22"/>
        </w:rPr>
        <mc:AlternateContent>
          <mc:Choice Requires="wpg">
            <w:drawing>
              <wp:inline distT="0" distB="0" distL="0" distR="0" wp14:anchorId="7BE948F9" wp14:editId="3FA16ADF">
                <wp:extent cx="6057900" cy="57150"/>
                <wp:effectExtent l="0" t="0" r="0" b="0"/>
                <wp:docPr id="3721" name="Group 3721"/>
                <wp:cNvGraphicFramePr/>
                <a:graphic xmlns:a="http://schemas.openxmlformats.org/drawingml/2006/main">
                  <a:graphicData uri="http://schemas.microsoft.com/office/word/2010/wordprocessingGroup">
                    <wpg:wgp>
                      <wpg:cNvGrpSpPr/>
                      <wpg:grpSpPr>
                        <a:xfrm>
                          <a:off x="0" y="0"/>
                          <a:ext cx="6057900" cy="57150"/>
                          <a:chOff x="0" y="0"/>
                          <a:chExt cx="6057900" cy="57150"/>
                        </a:xfrm>
                      </wpg:grpSpPr>
                      <wps:wsp>
                        <wps:cNvPr id="4628" name="Shape 4628"/>
                        <wps:cNvSpPr/>
                        <wps:spPr>
                          <a:xfrm>
                            <a:off x="0" y="22860"/>
                            <a:ext cx="6057900" cy="34290"/>
                          </a:xfrm>
                          <a:custGeom>
                            <a:avLst/>
                            <a:gdLst/>
                            <a:ahLst/>
                            <a:cxnLst/>
                            <a:rect l="0" t="0" r="0" b="0"/>
                            <a:pathLst>
                              <a:path w="6057900" h="34290">
                                <a:moveTo>
                                  <a:pt x="0" y="0"/>
                                </a:moveTo>
                                <a:lnTo>
                                  <a:pt x="6057900" y="0"/>
                                </a:lnTo>
                                <a:lnTo>
                                  <a:pt x="60579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29" name="Shape 4629"/>
                        <wps:cNvSpPr/>
                        <wps:spPr>
                          <a:xfrm>
                            <a:off x="0" y="0"/>
                            <a:ext cx="6057900" cy="11430"/>
                          </a:xfrm>
                          <a:custGeom>
                            <a:avLst/>
                            <a:gdLst/>
                            <a:ahLst/>
                            <a:cxnLst/>
                            <a:rect l="0" t="0" r="0" b="0"/>
                            <a:pathLst>
                              <a:path w="6057900" h="11430">
                                <a:moveTo>
                                  <a:pt x="0" y="0"/>
                                </a:moveTo>
                                <a:lnTo>
                                  <a:pt x="6057900" y="0"/>
                                </a:lnTo>
                                <a:lnTo>
                                  <a:pt x="60579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1" style="width:477pt;height:4.50003pt;mso-position-horizontal-relative:char;mso-position-vertical-relative:line" coordsize="60579,571">
                <v:shape id="Shape 4630" style="position:absolute;width:60579;height:342;left:0;top:228;" coordsize="6057900,34290" path="m0,0l6057900,0l6057900,34290l0,34290l0,0">
                  <v:stroke weight="0pt" endcap="flat" joinstyle="miter" miterlimit="10" on="false" color="#000000" opacity="0"/>
                  <v:fill on="true" color="#000000"/>
                </v:shape>
                <v:shape id="Shape 4631" style="position:absolute;width:60579;height:114;left:0;top:0;" coordsize="6057900,11430" path="m0,0l6057900,0l6057900,11430l0,11430l0,0">
                  <v:stroke weight="0pt" endcap="flat" joinstyle="miter" miterlimit="10" on="false" color="#000000" opacity="0"/>
                  <v:fill on="true" color="#000000"/>
                </v:shape>
              </v:group>
            </w:pict>
          </mc:Fallback>
        </mc:AlternateContent>
      </w:r>
    </w:p>
    <w:p w14:paraId="2DEB6C28" w14:textId="77777777" w:rsidR="008344F6" w:rsidRDefault="008344F6">
      <w:pPr>
        <w:sectPr w:rsidR="008344F6">
          <w:footerReference w:type="even" r:id="rId8"/>
          <w:footerReference w:type="default" r:id="rId9"/>
          <w:footerReference w:type="first" r:id="rId10"/>
          <w:pgSz w:w="12240" w:h="15840"/>
          <w:pgMar w:top="1453" w:right="5607" w:bottom="1041" w:left="780" w:header="720" w:footer="707" w:gutter="0"/>
          <w:cols w:space="720"/>
        </w:sectPr>
      </w:pPr>
    </w:p>
    <w:p w14:paraId="3BA100AA" w14:textId="77777777" w:rsidR="008344F6" w:rsidRDefault="004F591C">
      <w:pPr>
        <w:spacing w:after="0"/>
        <w:ind w:left="0" w:firstLine="0"/>
      </w:pPr>
      <w:r>
        <w:rPr>
          <w:sz w:val="25"/>
        </w:rPr>
        <w:t xml:space="preserve"> </w:t>
      </w:r>
    </w:p>
    <w:p w14:paraId="2AA35433" w14:textId="77777777" w:rsidR="008344F6" w:rsidRDefault="004F591C">
      <w:pPr>
        <w:pStyle w:val="Heading2"/>
        <w:ind w:left="295"/>
      </w:pPr>
      <w:r>
        <w:rPr>
          <w:rFonts w:ascii="Arial" w:eastAsia="Arial" w:hAnsi="Arial" w:cs="Arial"/>
        </w:rPr>
        <w:t>I.</w:t>
      </w:r>
      <w:r>
        <w:rPr>
          <w:rFonts w:ascii="Arial" w:eastAsia="Arial" w:hAnsi="Arial" w:cs="Arial"/>
          <w:u w:val="none"/>
        </w:rPr>
        <w:t xml:space="preserve"> </w:t>
      </w:r>
      <w:r>
        <w:t>Policy Summary and Purpose</w:t>
      </w:r>
      <w:r>
        <w:rPr>
          <w:u w:val="none"/>
        </w:rPr>
        <w:t xml:space="preserve"> </w:t>
      </w:r>
    </w:p>
    <w:p w14:paraId="56E1E538" w14:textId="77777777" w:rsidR="008344F6" w:rsidRDefault="004F591C">
      <w:pPr>
        <w:spacing w:after="0" w:line="336" w:lineRule="auto"/>
        <w:ind w:left="295"/>
      </w:pPr>
      <w:r>
        <w:t xml:space="preserve">This policy provides guidance for determining which expenses may be charged to faculty support funds, which include faculty “start-up funds” and the Dean’s annual allocation. The purpose of this policy is to ensure sound business practices, timely and accurate recording of expenses, and compliance with tax regulations under the Internal Revenue Code. </w:t>
      </w:r>
    </w:p>
    <w:p w14:paraId="33237421" w14:textId="77777777" w:rsidR="008344F6" w:rsidRDefault="004F591C">
      <w:pPr>
        <w:spacing w:after="0"/>
        <w:ind w:left="0" w:firstLine="0"/>
      </w:pPr>
      <w:r>
        <w:rPr>
          <w:sz w:val="12"/>
        </w:rPr>
        <w:t xml:space="preserve"> </w:t>
      </w:r>
    </w:p>
    <w:p w14:paraId="722AE735" w14:textId="77777777" w:rsidR="008344F6" w:rsidRDefault="004F591C">
      <w:pPr>
        <w:spacing w:after="65"/>
        <w:ind w:left="201" w:right="-105" w:firstLine="0"/>
      </w:pPr>
      <w:r>
        <w:rPr>
          <w:rFonts w:ascii="Calibri" w:eastAsia="Calibri" w:hAnsi="Calibri" w:cs="Calibri"/>
          <w:noProof/>
          <w:sz w:val="22"/>
        </w:rPr>
        <mc:AlternateContent>
          <mc:Choice Requires="wpg">
            <w:drawing>
              <wp:inline distT="0" distB="0" distL="0" distR="0" wp14:anchorId="2E8DD4F0" wp14:editId="122ED28F">
                <wp:extent cx="6057900" cy="57150"/>
                <wp:effectExtent l="0" t="0" r="0" b="0"/>
                <wp:docPr id="3723" name="Group 3723"/>
                <wp:cNvGraphicFramePr/>
                <a:graphic xmlns:a="http://schemas.openxmlformats.org/drawingml/2006/main">
                  <a:graphicData uri="http://schemas.microsoft.com/office/word/2010/wordprocessingGroup">
                    <wpg:wgp>
                      <wpg:cNvGrpSpPr/>
                      <wpg:grpSpPr>
                        <a:xfrm>
                          <a:off x="0" y="0"/>
                          <a:ext cx="6057900" cy="57150"/>
                          <a:chOff x="0" y="0"/>
                          <a:chExt cx="6057900" cy="57150"/>
                        </a:xfrm>
                      </wpg:grpSpPr>
                      <wps:wsp>
                        <wps:cNvPr id="4632" name="Shape 4632"/>
                        <wps:cNvSpPr/>
                        <wps:spPr>
                          <a:xfrm>
                            <a:off x="0" y="22860"/>
                            <a:ext cx="6057900" cy="34290"/>
                          </a:xfrm>
                          <a:custGeom>
                            <a:avLst/>
                            <a:gdLst/>
                            <a:ahLst/>
                            <a:cxnLst/>
                            <a:rect l="0" t="0" r="0" b="0"/>
                            <a:pathLst>
                              <a:path w="6057900" h="34290">
                                <a:moveTo>
                                  <a:pt x="0" y="0"/>
                                </a:moveTo>
                                <a:lnTo>
                                  <a:pt x="6057900" y="0"/>
                                </a:lnTo>
                                <a:lnTo>
                                  <a:pt x="60579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3" name="Shape 4633"/>
                        <wps:cNvSpPr/>
                        <wps:spPr>
                          <a:xfrm>
                            <a:off x="0" y="0"/>
                            <a:ext cx="6057900" cy="11430"/>
                          </a:xfrm>
                          <a:custGeom>
                            <a:avLst/>
                            <a:gdLst/>
                            <a:ahLst/>
                            <a:cxnLst/>
                            <a:rect l="0" t="0" r="0" b="0"/>
                            <a:pathLst>
                              <a:path w="6057900" h="11430">
                                <a:moveTo>
                                  <a:pt x="0" y="0"/>
                                </a:moveTo>
                                <a:lnTo>
                                  <a:pt x="6057900" y="0"/>
                                </a:lnTo>
                                <a:lnTo>
                                  <a:pt x="60579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23" style="width:477pt;height:4.5pt;mso-position-horizontal-relative:char;mso-position-vertical-relative:line" coordsize="60579,571">
                <v:shape id="Shape 4634" style="position:absolute;width:60579;height:342;left:0;top:228;" coordsize="6057900,34290" path="m0,0l6057900,0l6057900,34290l0,34290l0,0">
                  <v:stroke weight="0pt" endcap="flat" joinstyle="miter" miterlimit="10" on="false" color="#000000" opacity="0"/>
                  <v:fill on="true" color="#000000"/>
                </v:shape>
                <v:shape id="Shape 4635" style="position:absolute;width:60579;height:114;left:0;top:0;" coordsize="6057900,11430" path="m0,0l6057900,0l6057900,11430l0,11430l0,0">
                  <v:stroke weight="0pt" endcap="flat" joinstyle="miter" miterlimit="10" on="false" color="#000000" opacity="0"/>
                  <v:fill on="true" color="#000000"/>
                </v:shape>
              </v:group>
            </w:pict>
          </mc:Fallback>
        </mc:AlternateContent>
      </w:r>
    </w:p>
    <w:p w14:paraId="72F4D88F" w14:textId="77777777" w:rsidR="008344F6" w:rsidRDefault="004F591C">
      <w:pPr>
        <w:spacing w:after="0"/>
        <w:ind w:left="0" w:firstLine="0"/>
      </w:pPr>
      <w:r>
        <w:rPr>
          <w:sz w:val="32"/>
        </w:rPr>
        <w:t xml:space="preserve"> </w:t>
      </w:r>
    </w:p>
    <w:p w14:paraId="3624CCFA" w14:textId="77777777" w:rsidR="008344F6" w:rsidRDefault="004F591C">
      <w:pPr>
        <w:pStyle w:val="Heading2"/>
        <w:ind w:left="295"/>
      </w:pPr>
      <w:r>
        <w:rPr>
          <w:rFonts w:ascii="Arial" w:eastAsia="Arial" w:hAnsi="Arial" w:cs="Arial"/>
        </w:rPr>
        <w:t>II.</w:t>
      </w:r>
      <w:r>
        <w:rPr>
          <w:rFonts w:ascii="Arial" w:eastAsia="Arial" w:hAnsi="Arial" w:cs="Arial"/>
          <w:u w:val="none"/>
        </w:rPr>
        <w:t xml:space="preserve"> </w:t>
      </w:r>
      <w:r>
        <w:t>Policy Statement</w:t>
      </w:r>
      <w:r>
        <w:rPr>
          <w:u w:val="none"/>
        </w:rPr>
        <w:t xml:space="preserve"> </w:t>
      </w:r>
    </w:p>
    <w:p w14:paraId="3CD8635E" w14:textId="0AABAACD" w:rsidR="008344F6" w:rsidRDefault="004F591C">
      <w:pPr>
        <w:spacing w:line="335" w:lineRule="auto"/>
        <w:ind w:left="295"/>
      </w:pPr>
      <w:r>
        <w:t>Faculty support funds, which include faculty “start-up funds” and the Dean’s annual allocation, are provided by the Faculty of Arts and Sciences to pay for expenses incurred in support of faculty research and scholarly activities for work performed while at the FAS. (Please note that these guidelines do not address expenses related to sponsored research as specified by the University and Federal guidelines.) Faculty support funds are not considered personal compensation and cannot be used to supplement a faculty member’s academic</w:t>
      </w:r>
      <w:r w:rsidR="00D23AA4">
        <w:t xml:space="preserve"> </w:t>
      </w:r>
      <w:r>
        <w:t xml:space="preserve">year salary, to cover personal expenses, or, without explicit prior approval from the Dean, for supplemental salary support. Unlike personal compensation, faculty support funds are not subject to personal income tax. </w:t>
      </w:r>
    </w:p>
    <w:p w14:paraId="68BFA188" w14:textId="7DDB0106" w:rsidR="00276B94" w:rsidRDefault="004F591C" w:rsidP="00276B94">
      <w:pPr>
        <w:spacing w:after="76"/>
        <w:ind w:left="288" w:firstLine="0"/>
      </w:pPr>
      <w:r>
        <w:lastRenderedPageBreak/>
        <w:t>Typical costs charged to faculty support funds include salary and fringe benefits for research assistants; the</w:t>
      </w:r>
      <w:r w:rsidR="00276B94">
        <w:t xml:space="preserve"> </w:t>
      </w:r>
    </w:p>
    <w:p w14:paraId="6AC67C08" w14:textId="77777777" w:rsidR="000874B1" w:rsidRDefault="000874B1" w:rsidP="00276B94">
      <w:pPr>
        <w:spacing w:after="76"/>
        <w:ind w:left="288" w:firstLine="0"/>
        <w:rPr>
          <w:rFonts w:ascii="Calibri" w:eastAsia="Calibri" w:hAnsi="Calibri" w:cs="Calibri"/>
        </w:rPr>
      </w:pPr>
      <w:r>
        <w:t xml:space="preserve">costs </w:t>
      </w:r>
      <w:r w:rsidR="004F591C">
        <w:t xml:space="preserve">of equipment, travel, books, journals, electronic resources, laboratory, and office supplies; </w:t>
      </w:r>
      <w:r w:rsidR="004F591C">
        <w:rPr>
          <w:rFonts w:ascii="Calibri" w:eastAsia="Calibri" w:hAnsi="Calibri" w:cs="Calibri"/>
        </w:rPr>
        <w:t>and</w:t>
      </w:r>
      <w:r w:rsidR="00276B94">
        <w:rPr>
          <w:rFonts w:ascii="Calibri" w:eastAsia="Calibri" w:hAnsi="Calibri" w:cs="Calibri"/>
        </w:rPr>
        <w:t xml:space="preserve"> services </w:t>
      </w:r>
    </w:p>
    <w:p w14:paraId="28113AAB" w14:textId="77777777" w:rsidR="000874B1" w:rsidRDefault="00276B94" w:rsidP="00276B94">
      <w:pPr>
        <w:spacing w:after="76"/>
        <w:ind w:left="288" w:firstLine="0"/>
      </w:pPr>
      <w:r>
        <w:rPr>
          <w:rFonts w:ascii="Calibri" w:eastAsia="Calibri" w:hAnsi="Calibri" w:cs="Calibri"/>
        </w:rPr>
        <w:t>pur</w:t>
      </w:r>
      <w:r w:rsidR="004F591C">
        <w:t>chased from animal care and other research support facilities. All expenses from faculty support funds</w:t>
      </w:r>
      <w:r w:rsidR="000874B1">
        <w:t xml:space="preserve"> </w:t>
      </w:r>
    </w:p>
    <w:p w14:paraId="20B6B6D6" w14:textId="77777777" w:rsidR="000874B1" w:rsidRDefault="004F591C" w:rsidP="00276B94">
      <w:pPr>
        <w:spacing w:after="76"/>
        <w:ind w:left="288" w:firstLine="0"/>
      </w:pPr>
      <w:r>
        <w:t xml:space="preserve"> need to be fully documented with specific reference to the research or scholarly activity being conducted. </w:t>
      </w:r>
    </w:p>
    <w:p w14:paraId="7D9F89C1" w14:textId="380486DE" w:rsidR="008344F6" w:rsidRDefault="004F591C" w:rsidP="00276B94">
      <w:pPr>
        <w:spacing w:after="76"/>
        <w:ind w:left="288" w:firstLine="0"/>
      </w:pPr>
      <w:r>
        <w:t>Durable assets (see below) purchased with faculty support funds are the property of Harvard University</w:t>
      </w:r>
      <w:r w:rsidR="00D23AA4">
        <w:t>.</w:t>
      </w:r>
      <w:r>
        <w:t xml:space="preserve"> </w:t>
      </w:r>
    </w:p>
    <w:p w14:paraId="6C74B1EA" w14:textId="77777777" w:rsidR="008344F6" w:rsidRDefault="004F591C" w:rsidP="00276B94">
      <w:pPr>
        <w:spacing w:after="76"/>
        <w:ind w:left="0" w:firstLine="0"/>
      </w:pPr>
      <w:r>
        <w:rPr>
          <w:sz w:val="27"/>
        </w:rPr>
        <w:t xml:space="preserve"> </w:t>
      </w:r>
    </w:p>
    <w:p w14:paraId="53DA4123" w14:textId="36CA576F" w:rsidR="008344F6" w:rsidRDefault="004F591C" w:rsidP="00276B94">
      <w:pPr>
        <w:spacing w:line="335" w:lineRule="auto"/>
        <w:ind w:left="295"/>
      </w:pPr>
      <w:r>
        <w:rPr>
          <w:b/>
        </w:rPr>
        <w:t xml:space="preserve">Departure of Faculty Member - </w:t>
      </w:r>
      <w:r>
        <w:t xml:space="preserve">Any unspent balances, durable assets, or items of value remain with the University upon the departure of a faculty member. Ordinarily, no expenditures may be made from startup funds after the end of the faculty member's appointment. Exceptions to this rule must be approved by the Associate Dean for Finance. Faculty members considering leaving the University should consult with their Department Administrator and/or the FAS Office of Finance on the disposition of their remaining startup funds. Emeritus faculty may continue to use unspent balances from their faculty support funds to support their research and scholarly activities. </w:t>
      </w:r>
    </w:p>
    <w:p w14:paraId="7701C18A" w14:textId="77777777" w:rsidR="008344F6" w:rsidRDefault="004F591C">
      <w:pPr>
        <w:spacing w:after="0"/>
        <w:ind w:left="0" w:firstLine="0"/>
      </w:pPr>
      <w:r>
        <w:rPr>
          <w:sz w:val="28"/>
        </w:rPr>
        <w:t xml:space="preserve"> </w:t>
      </w:r>
    </w:p>
    <w:p w14:paraId="196AC591" w14:textId="77777777" w:rsidR="008344F6" w:rsidRDefault="004F591C">
      <w:pPr>
        <w:spacing w:after="0" w:line="336" w:lineRule="auto"/>
        <w:ind w:left="295"/>
      </w:pPr>
      <w:r>
        <w:t xml:space="preserve">As long as funds are used within these guidelines, there are no tax implications. Failure to abide by these guidelines may result in tax consequences; the IRS views faculty support funds that are used for the direct personal benefit of a faculty member as additional income and would require the University to withhold taxes as a result. </w:t>
      </w:r>
    </w:p>
    <w:p w14:paraId="302A1E06" w14:textId="77777777" w:rsidR="008344F6" w:rsidRDefault="004F591C">
      <w:pPr>
        <w:spacing w:after="151"/>
        <w:ind w:left="301" w:firstLine="0"/>
      </w:pPr>
      <w:r>
        <w:t xml:space="preserve"> </w:t>
      </w:r>
    </w:p>
    <w:p w14:paraId="42991873" w14:textId="0BC67570" w:rsidR="008344F6" w:rsidRPr="00D23AA4" w:rsidRDefault="004F591C" w:rsidP="00D23AA4">
      <w:pPr>
        <w:spacing w:after="0"/>
        <w:ind w:left="300" w:firstLine="0"/>
        <w:rPr>
          <w:b/>
          <w:bCs/>
        </w:rPr>
      </w:pPr>
      <w:r w:rsidRPr="00D23AA4">
        <w:rPr>
          <w:b/>
          <w:bCs/>
          <w:sz w:val="27"/>
        </w:rPr>
        <w:t xml:space="preserve"> </w:t>
      </w:r>
      <w:r w:rsidRPr="00D23AA4">
        <w:rPr>
          <w:rFonts w:ascii="Arial" w:eastAsia="Arial" w:hAnsi="Arial" w:cs="Arial"/>
          <w:b/>
          <w:bCs/>
        </w:rPr>
        <w:t xml:space="preserve">A. </w:t>
      </w:r>
      <w:r w:rsidRPr="00D23AA4">
        <w:rPr>
          <w:b/>
          <w:bCs/>
        </w:rPr>
        <w:t xml:space="preserve">Durable Assets </w:t>
      </w:r>
    </w:p>
    <w:p w14:paraId="064BC2E8" w14:textId="1C90EE76" w:rsidR="008344F6" w:rsidRDefault="004F591C">
      <w:pPr>
        <w:spacing w:line="335" w:lineRule="auto"/>
        <w:ind w:left="295"/>
      </w:pPr>
      <w:r>
        <w:t xml:space="preserve">Certain durable assets may be purchased using faculty support funds. Durable assets are defined as tangible goods that yield service or benefits over a number of years. </w:t>
      </w:r>
      <w:r w:rsidR="000874B1">
        <w:t xml:space="preserve"> </w:t>
      </w:r>
      <w:r>
        <w:t xml:space="preserve">Durable assets purchased with faculty support funds are the property of Harvard University. </w:t>
      </w:r>
      <w:r w:rsidR="00D23AA4">
        <w:t xml:space="preserve"> </w:t>
      </w:r>
      <w:r>
        <w:t>Examples of durable assets are scientific</w:t>
      </w:r>
      <w:r w:rsidR="00D23AA4">
        <w:t xml:space="preserve"> </w:t>
      </w:r>
      <w:r>
        <w:t xml:space="preserve">equipment and computers. </w:t>
      </w:r>
    </w:p>
    <w:p w14:paraId="2380EA91" w14:textId="77777777" w:rsidR="008344F6" w:rsidRDefault="004F591C">
      <w:pPr>
        <w:spacing w:after="0"/>
        <w:ind w:left="0" w:firstLine="0"/>
      </w:pPr>
      <w:r>
        <w:rPr>
          <w:sz w:val="28"/>
        </w:rPr>
        <w:t xml:space="preserve"> </w:t>
      </w:r>
    </w:p>
    <w:p w14:paraId="23B37D91" w14:textId="77777777" w:rsidR="008344F6" w:rsidRDefault="004F591C">
      <w:pPr>
        <w:spacing w:after="0" w:line="336" w:lineRule="auto"/>
        <w:ind w:left="295"/>
      </w:pPr>
      <w:r>
        <w:t xml:space="preserve">The faculty member’s home department must inventory such durable assets. A complete list of these items should be maintained by the faculty member’s department and regularly updated for additions and disposals. </w:t>
      </w:r>
    </w:p>
    <w:p w14:paraId="37E4E2B1" w14:textId="77777777" w:rsidR="008344F6" w:rsidRDefault="004F591C">
      <w:pPr>
        <w:spacing w:after="149"/>
        <w:ind w:left="295"/>
      </w:pPr>
      <w:r>
        <w:rPr>
          <w:b/>
          <w:i/>
        </w:rPr>
        <w:t>Note</w:t>
      </w:r>
      <w:r>
        <w:t xml:space="preserve">: Any assets documented in Oracle Assets will be automatically covered by insurance. </w:t>
      </w:r>
    </w:p>
    <w:p w14:paraId="62D970EC" w14:textId="77777777" w:rsidR="008344F6" w:rsidRDefault="004F591C">
      <w:pPr>
        <w:spacing w:after="0"/>
        <w:ind w:left="0" w:firstLine="0"/>
      </w:pPr>
      <w:r>
        <w:rPr>
          <w:sz w:val="27"/>
        </w:rPr>
        <w:t xml:space="preserve"> </w:t>
      </w:r>
    </w:p>
    <w:p w14:paraId="4ACDF8A8" w14:textId="77777777" w:rsidR="008344F6" w:rsidRDefault="004F591C">
      <w:pPr>
        <w:spacing w:line="336" w:lineRule="auto"/>
        <w:ind w:left="295"/>
      </w:pPr>
      <w:r>
        <w:t xml:space="preserve">If a faculty member, upon leaving the University or retirement, wishes to acquire equipment or other items of value previously purchased with faculty support funds, he or she should contact the Director of Accounting Operations in the FAS Office of Finance. Items determined to be eligible for purchase will carry fair market value. The purchased asset should be removed from inventory. </w:t>
      </w:r>
    </w:p>
    <w:p w14:paraId="5AC92696" w14:textId="77777777" w:rsidR="008344F6" w:rsidRDefault="004F591C">
      <w:pPr>
        <w:spacing w:after="0"/>
        <w:ind w:left="0" w:firstLine="0"/>
      </w:pPr>
      <w:r>
        <w:rPr>
          <w:sz w:val="27"/>
        </w:rPr>
        <w:t xml:space="preserve"> </w:t>
      </w:r>
    </w:p>
    <w:p w14:paraId="71DA355C" w14:textId="77777777" w:rsidR="008344F6" w:rsidRDefault="004F591C">
      <w:pPr>
        <w:pStyle w:val="Heading3"/>
        <w:ind w:left="295"/>
      </w:pPr>
      <w:r>
        <w:rPr>
          <w:rFonts w:ascii="Arial" w:eastAsia="Arial" w:hAnsi="Arial" w:cs="Arial"/>
        </w:rPr>
        <w:t>B.</w:t>
      </w:r>
      <w:r>
        <w:rPr>
          <w:rFonts w:ascii="Arial" w:eastAsia="Arial" w:hAnsi="Arial" w:cs="Arial"/>
          <w:u w:val="none"/>
        </w:rPr>
        <w:t xml:space="preserve"> </w:t>
      </w:r>
      <w:r>
        <w:t>Unallowable Durable Assets</w:t>
      </w:r>
      <w:r>
        <w:rPr>
          <w:u w:val="none"/>
        </w:rPr>
        <w:t xml:space="preserve"> </w:t>
      </w:r>
    </w:p>
    <w:p w14:paraId="5B3E07B3" w14:textId="77777777" w:rsidR="008344F6" w:rsidRDefault="004F591C">
      <w:pPr>
        <w:spacing w:after="18" w:line="336" w:lineRule="auto"/>
        <w:ind w:left="295"/>
      </w:pPr>
      <w:r>
        <w:t xml:space="preserve">The following durable assets may not be purchased with faculty support funds. Exceptions require prior written approval by the FAS Dean. </w:t>
      </w:r>
    </w:p>
    <w:p w14:paraId="75BA52D6" w14:textId="77777777" w:rsidR="008344F6" w:rsidRDefault="004F591C">
      <w:pPr>
        <w:numPr>
          <w:ilvl w:val="0"/>
          <w:numId w:val="2"/>
        </w:numPr>
        <w:ind w:hanging="362"/>
      </w:pPr>
      <w:r>
        <w:t xml:space="preserve">Furniture and furnishings </w:t>
      </w:r>
    </w:p>
    <w:p w14:paraId="0808E2C4" w14:textId="77777777" w:rsidR="008344F6" w:rsidRDefault="004F591C">
      <w:pPr>
        <w:numPr>
          <w:ilvl w:val="0"/>
          <w:numId w:val="2"/>
        </w:numPr>
        <w:ind w:hanging="362"/>
      </w:pPr>
      <w:r>
        <w:t xml:space="preserve">Rare books (defined as books with a purchase price above $500) </w:t>
      </w:r>
    </w:p>
    <w:p w14:paraId="57F038F7" w14:textId="77777777" w:rsidR="008344F6" w:rsidRDefault="004F591C">
      <w:pPr>
        <w:numPr>
          <w:ilvl w:val="0"/>
          <w:numId w:val="2"/>
        </w:numPr>
        <w:ind w:hanging="362"/>
      </w:pPr>
      <w:r>
        <w:t xml:space="preserve">Works of art </w:t>
      </w:r>
    </w:p>
    <w:p w14:paraId="35C64BAD" w14:textId="77777777" w:rsidR="008344F6" w:rsidRDefault="004F591C">
      <w:pPr>
        <w:spacing w:line="333" w:lineRule="auto"/>
        <w:ind w:left="295"/>
      </w:pPr>
      <w:r>
        <w:lastRenderedPageBreak/>
        <w:t xml:space="preserve">In rare instances where exceptions are granted, based on a determination that it is a legitimate and necessary research or scholarly expense, these assets must be inventoried as described in Section A above. </w:t>
      </w:r>
    </w:p>
    <w:p w14:paraId="1351ED90" w14:textId="77777777" w:rsidR="008344F6" w:rsidRDefault="004F591C">
      <w:pPr>
        <w:spacing w:after="0"/>
        <w:ind w:left="0" w:firstLine="0"/>
      </w:pPr>
      <w:r>
        <w:rPr>
          <w:sz w:val="27"/>
        </w:rPr>
        <w:t xml:space="preserve"> </w:t>
      </w:r>
    </w:p>
    <w:p w14:paraId="49136C41" w14:textId="77777777" w:rsidR="008344F6" w:rsidRDefault="004F591C">
      <w:pPr>
        <w:pStyle w:val="Heading3"/>
        <w:ind w:left="295"/>
      </w:pPr>
      <w:r>
        <w:rPr>
          <w:rFonts w:ascii="Arial" w:eastAsia="Arial" w:hAnsi="Arial" w:cs="Arial"/>
        </w:rPr>
        <w:t>C.</w:t>
      </w:r>
      <w:r>
        <w:rPr>
          <w:rFonts w:ascii="Arial" w:eastAsia="Arial" w:hAnsi="Arial" w:cs="Arial"/>
          <w:u w:val="none"/>
        </w:rPr>
        <w:t xml:space="preserve"> </w:t>
      </w:r>
      <w:r>
        <w:t>Supplies</w:t>
      </w:r>
      <w:r>
        <w:rPr>
          <w:u w:val="none"/>
        </w:rPr>
        <w:t xml:space="preserve"> </w:t>
      </w:r>
    </w:p>
    <w:p w14:paraId="092CC345" w14:textId="4949CC5B" w:rsidR="008344F6" w:rsidRDefault="004F591C">
      <w:pPr>
        <w:spacing w:line="335" w:lineRule="auto"/>
        <w:ind w:left="295"/>
        <w:rPr>
          <w:sz w:val="19"/>
        </w:rPr>
      </w:pPr>
      <w:r>
        <w:t>Laboratory and office supplies may be a significant expense for research conducted in science departments. All lab and office supplies purchased with faculty support funds must be clearly documented as research or scholarly costs. The University has negotiated competitive prices for lab and</w:t>
      </w:r>
      <w:r w:rsidR="00D23AA4">
        <w:t xml:space="preserve"> </w:t>
      </w:r>
      <w:r>
        <w:t xml:space="preserve">office supplies with several vendors. For more information on vendor partners go to </w:t>
      </w:r>
      <w:r w:rsidR="00E548F3">
        <w:rPr>
          <w:color w:val="0000FF"/>
          <w:u w:val="single" w:color="0000FF"/>
        </w:rPr>
        <w:t>https://procurement.harvard.edu/</w:t>
      </w:r>
      <w:r w:rsidR="00E548F3">
        <w:rPr>
          <w:sz w:val="19"/>
        </w:rPr>
        <w:t>.</w:t>
      </w:r>
    </w:p>
    <w:p w14:paraId="245674B3" w14:textId="77777777" w:rsidR="00D23AA4" w:rsidRDefault="00D23AA4">
      <w:pPr>
        <w:spacing w:line="335" w:lineRule="auto"/>
        <w:ind w:left="295"/>
      </w:pPr>
    </w:p>
    <w:p w14:paraId="154BF6C0" w14:textId="77777777" w:rsidR="008344F6" w:rsidRDefault="004F591C">
      <w:pPr>
        <w:pStyle w:val="Heading3"/>
        <w:ind w:left="295"/>
      </w:pPr>
      <w:r>
        <w:rPr>
          <w:rFonts w:ascii="Arial" w:eastAsia="Arial" w:hAnsi="Arial" w:cs="Arial"/>
        </w:rPr>
        <w:t>D.</w:t>
      </w:r>
      <w:r>
        <w:rPr>
          <w:rFonts w:ascii="Arial" w:eastAsia="Arial" w:hAnsi="Arial" w:cs="Arial"/>
          <w:u w:val="none"/>
        </w:rPr>
        <w:t xml:space="preserve"> </w:t>
      </w:r>
      <w:r>
        <w:t>Salary and Wages</w:t>
      </w:r>
      <w:r>
        <w:rPr>
          <w:u w:val="none"/>
        </w:rPr>
        <w:t xml:space="preserve"> </w:t>
      </w:r>
    </w:p>
    <w:p w14:paraId="1E45DE92" w14:textId="69F23FD0" w:rsidR="008344F6" w:rsidRDefault="004F591C">
      <w:pPr>
        <w:spacing w:line="335" w:lineRule="auto"/>
        <w:ind w:left="295" w:right="212"/>
      </w:pPr>
      <w:r>
        <w:t>If faculty support funds are used to finance a research position, the prospective employee must be informed, in writing, that funding is temporary and that there is no commitment of employment after the funding is exhausted or the specific research project is completed. FAS Human Resources and the faculty member’s home department should be contacted for specific hiring information. Funds must be adequate to cover salary, and associated fringe benefit costs as determined through</w:t>
      </w:r>
      <w:r w:rsidR="00D23AA4">
        <w:t xml:space="preserve"> </w:t>
      </w:r>
      <w:r>
        <w:t xml:space="preserve">the fringe benefit rate established by the University. </w:t>
      </w:r>
    </w:p>
    <w:p w14:paraId="79785111" w14:textId="77777777" w:rsidR="008344F6" w:rsidRDefault="004F591C">
      <w:pPr>
        <w:spacing w:after="0"/>
        <w:ind w:left="0" w:firstLine="0"/>
      </w:pPr>
      <w:r>
        <w:rPr>
          <w:sz w:val="27"/>
        </w:rPr>
        <w:t xml:space="preserve"> </w:t>
      </w:r>
    </w:p>
    <w:p w14:paraId="17CAE4B3" w14:textId="77777777" w:rsidR="008344F6" w:rsidRDefault="004F591C">
      <w:pPr>
        <w:pStyle w:val="Heading3"/>
        <w:ind w:left="295"/>
      </w:pPr>
      <w:r>
        <w:rPr>
          <w:rFonts w:ascii="Arial" w:eastAsia="Arial" w:hAnsi="Arial" w:cs="Arial"/>
        </w:rPr>
        <w:t>E.</w:t>
      </w:r>
      <w:r>
        <w:rPr>
          <w:rFonts w:ascii="Arial" w:eastAsia="Arial" w:hAnsi="Arial" w:cs="Arial"/>
          <w:u w:val="none"/>
        </w:rPr>
        <w:t xml:space="preserve"> </w:t>
      </w:r>
      <w:r>
        <w:t>Travel and Business Entertainment</w:t>
      </w:r>
      <w:r>
        <w:rPr>
          <w:u w:val="none"/>
        </w:rPr>
        <w:t xml:space="preserve"> </w:t>
      </w:r>
    </w:p>
    <w:p w14:paraId="5DB473AD" w14:textId="77777777" w:rsidR="008344F6" w:rsidRDefault="004F591C">
      <w:pPr>
        <w:spacing w:after="101" w:line="336" w:lineRule="auto"/>
        <w:ind w:left="295"/>
      </w:pPr>
      <w:r>
        <w:t xml:space="preserve">Expenses relating to research travel and business entertainment must follow the FAS Spending Policy for Travel, Business, and Entertainment Spending. The policy includes: </w:t>
      </w:r>
    </w:p>
    <w:p w14:paraId="6EC6AD14" w14:textId="77777777" w:rsidR="008344F6" w:rsidRDefault="004F591C">
      <w:pPr>
        <w:tabs>
          <w:tab w:val="center" w:pos="300"/>
          <w:tab w:val="center" w:pos="1944"/>
        </w:tabs>
        <w:spacing w:after="183"/>
        <w:ind w:left="0" w:firstLine="0"/>
      </w:pPr>
      <w:r>
        <w:rPr>
          <w:rFonts w:ascii="Calibri" w:eastAsia="Calibri" w:hAnsi="Calibri" w:cs="Calibri"/>
          <w:sz w:val="22"/>
        </w:rPr>
        <w:tab/>
      </w:r>
      <w:r>
        <w:t xml:space="preserve"> </w:t>
      </w:r>
      <w:r>
        <w:tab/>
        <w:t xml:space="preserve">Selecting the means of travel </w:t>
      </w:r>
    </w:p>
    <w:p w14:paraId="56EAD46C" w14:textId="77777777" w:rsidR="008344F6" w:rsidRDefault="004F591C">
      <w:pPr>
        <w:tabs>
          <w:tab w:val="center" w:pos="300"/>
          <w:tab w:val="center" w:pos="2749"/>
        </w:tabs>
        <w:spacing w:after="180"/>
        <w:ind w:left="0" w:firstLine="0"/>
      </w:pPr>
      <w:r>
        <w:rPr>
          <w:rFonts w:ascii="Calibri" w:eastAsia="Calibri" w:hAnsi="Calibri" w:cs="Calibri"/>
          <w:sz w:val="22"/>
        </w:rPr>
        <w:tab/>
      </w:r>
      <w:r>
        <w:t xml:space="preserve"> </w:t>
      </w:r>
      <w:r>
        <w:tab/>
        <w:t xml:space="preserve">Paying for the travel using an approved method </w:t>
      </w:r>
    </w:p>
    <w:p w14:paraId="09E40C54" w14:textId="77777777" w:rsidR="008344F6" w:rsidRDefault="004F591C">
      <w:pPr>
        <w:tabs>
          <w:tab w:val="center" w:pos="300"/>
          <w:tab w:val="center" w:pos="2334"/>
        </w:tabs>
        <w:spacing w:after="183"/>
        <w:ind w:left="0" w:firstLine="0"/>
      </w:pPr>
      <w:r>
        <w:rPr>
          <w:rFonts w:ascii="Calibri" w:eastAsia="Calibri" w:hAnsi="Calibri" w:cs="Calibri"/>
          <w:sz w:val="22"/>
        </w:rPr>
        <w:tab/>
      </w:r>
      <w:r>
        <w:t xml:space="preserve"> </w:t>
      </w:r>
      <w:r>
        <w:tab/>
        <w:t xml:space="preserve">Getting reimbursed for the travel, and </w:t>
      </w:r>
    </w:p>
    <w:p w14:paraId="0CB9A4DF" w14:textId="77777777" w:rsidR="008344F6" w:rsidRDefault="004F591C">
      <w:pPr>
        <w:tabs>
          <w:tab w:val="center" w:pos="300"/>
          <w:tab w:val="center" w:pos="3349"/>
        </w:tabs>
        <w:spacing w:after="172"/>
        <w:ind w:left="0" w:firstLine="0"/>
      </w:pPr>
      <w:r>
        <w:rPr>
          <w:rFonts w:ascii="Calibri" w:eastAsia="Calibri" w:hAnsi="Calibri" w:cs="Calibri"/>
          <w:sz w:val="22"/>
        </w:rPr>
        <w:tab/>
      </w:r>
      <w:r>
        <w:t xml:space="preserve"> </w:t>
      </w:r>
      <w:r>
        <w:tab/>
        <w:t xml:space="preserve">Understanding the rules for special reimbursement situations </w:t>
      </w:r>
    </w:p>
    <w:p w14:paraId="48F6B4E3" w14:textId="43F54ACC" w:rsidR="008344F6" w:rsidRDefault="004F591C">
      <w:pPr>
        <w:spacing w:after="2" w:line="333" w:lineRule="auto"/>
        <w:ind w:left="295"/>
      </w:pPr>
      <w:r>
        <w:t xml:space="preserve">The University Travel policy can be obtained by clicking on the following </w:t>
      </w:r>
      <w:hyperlink r:id="rId11" w:history="1">
        <w:r>
          <w:rPr>
            <w:rStyle w:val="Hyperlink"/>
          </w:rPr>
          <w:t>https://policies.fad.harvard.edu/pages/travel-0</w:t>
        </w:r>
      </w:hyperlink>
      <w:r w:rsidR="00D23AA4" w:rsidRPr="00D23AA4">
        <w:rPr>
          <w:rStyle w:val="Hyperlink"/>
          <w:u w:val="none"/>
        </w:rPr>
        <w:t xml:space="preserve">.  </w:t>
      </w:r>
      <w:r w:rsidRPr="00D23AA4">
        <w:t xml:space="preserve"> </w:t>
      </w:r>
      <w:r>
        <w:t xml:space="preserve">Additional FAS requirements addendum is located at: </w:t>
      </w:r>
    </w:p>
    <w:p w14:paraId="3B8632F2" w14:textId="77777777" w:rsidR="008344F6" w:rsidRDefault="004F591C">
      <w:pPr>
        <w:spacing w:after="0" w:line="336" w:lineRule="auto"/>
        <w:ind w:left="300" w:firstLine="0"/>
      </w:pPr>
      <w:r>
        <w:rPr>
          <w:color w:val="0000FF"/>
          <w:u w:val="single" w:color="0000FF"/>
        </w:rPr>
        <w:t>https://finance.fas.harvard.edu/files/fas_finance/files/fas_travel_policy_addendum_051221.pdf?m=1620842 453</w:t>
      </w:r>
      <w:r>
        <w:t xml:space="preserve"> </w:t>
      </w:r>
    </w:p>
    <w:p w14:paraId="265D3685" w14:textId="77777777" w:rsidR="008344F6" w:rsidRDefault="004F591C">
      <w:pPr>
        <w:spacing w:after="83"/>
        <w:ind w:left="0" w:firstLine="0"/>
      </w:pPr>
      <w:r>
        <w:rPr>
          <w:sz w:val="19"/>
        </w:rPr>
        <w:t xml:space="preserve"> </w:t>
      </w:r>
    </w:p>
    <w:p w14:paraId="61016687" w14:textId="77777777" w:rsidR="008344F6" w:rsidRDefault="004F591C">
      <w:pPr>
        <w:pStyle w:val="Heading3"/>
        <w:ind w:left="295"/>
      </w:pPr>
      <w:r>
        <w:rPr>
          <w:rFonts w:ascii="Arial" w:eastAsia="Arial" w:hAnsi="Arial" w:cs="Arial"/>
        </w:rPr>
        <w:t>F.</w:t>
      </w:r>
      <w:r>
        <w:rPr>
          <w:rFonts w:ascii="Arial" w:eastAsia="Arial" w:hAnsi="Arial" w:cs="Arial"/>
          <w:u w:val="none"/>
        </w:rPr>
        <w:t xml:space="preserve"> </w:t>
      </w:r>
      <w:r>
        <w:t>Consultants / Service Contracts</w:t>
      </w:r>
      <w:r>
        <w:rPr>
          <w:u w:val="none"/>
        </w:rPr>
        <w:t xml:space="preserve"> </w:t>
      </w:r>
    </w:p>
    <w:p w14:paraId="0DC73D8F" w14:textId="77777777" w:rsidR="008344F6" w:rsidRDefault="004F591C">
      <w:pPr>
        <w:spacing w:line="335" w:lineRule="auto"/>
        <w:ind w:left="295"/>
      </w:pPr>
      <w:r>
        <w:t xml:space="preserve">All consultant and service contract arrangements must be properly documented and University procedures for determining such arrangements must be followed. The following records must be completed and maintained by the department for all consulting arrangements: (1) Employee/Independent Contractor Questionnaire, (2) Signed Contract, and (3) Invoices (with adequate detail). FAS Human Resources should be contacted for questions concerning consulting arrangements. </w:t>
      </w:r>
    </w:p>
    <w:p w14:paraId="2F915BBC" w14:textId="77777777" w:rsidR="008344F6" w:rsidRDefault="004F591C">
      <w:pPr>
        <w:spacing w:after="0"/>
        <w:ind w:left="0" w:firstLine="0"/>
      </w:pPr>
      <w:r>
        <w:rPr>
          <w:sz w:val="27"/>
        </w:rPr>
        <w:t xml:space="preserve"> </w:t>
      </w:r>
    </w:p>
    <w:p w14:paraId="76790B64" w14:textId="77777777" w:rsidR="008344F6" w:rsidRDefault="004F591C">
      <w:pPr>
        <w:spacing w:line="335" w:lineRule="auto"/>
        <w:ind w:left="295" w:right="297"/>
        <w:jc w:val="both"/>
      </w:pPr>
      <w:r>
        <w:t xml:space="preserve">The FAS Financial Office must approve consulting contracts equal to or greater than $50,000 or more than one year in duration. Department administrators should approve all consulting contracts under this threshold. </w:t>
      </w:r>
    </w:p>
    <w:p w14:paraId="1CB70234" w14:textId="77777777" w:rsidR="008344F6" w:rsidRDefault="004F591C">
      <w:pPr>
        <w:spacing w:after="0"/>
        <w:ind w:left="0" w:firstLine="0"/>
      </w:pPr>
      <w:r>
        <w:rPr>
          <w:sz w:val="27"/>
        </w:rPr>
        <w:lastRenderedPageBreak/>
        <w:t xml:space="preserve"> </w:t>
      </w:r>
    </w:p>
    <w:p w14:paraId="33DC3692" w14:textId="6F2C778F" w:rsidR="008344F6" w:rsidRDefault="004F591C">
      <w:pPr>
        <w:spacing w:after="0" w:line="335" w:lineRule="auto"/>
        <w:ind w:left="295" w:right="297"/>
        <w:jc w:val="both"/>
      </w:pPr>
      <w:r>
        <w:t xml:space="preserve">The University’s policy on Contractors and Employee/Independent Contractor Questionnaire (appendix to policy) can be found at </w:t>
      </w:r>
      <w:hyperlink r:id="rId12" w:history="1">
        <w:r w:rsidR="00D23AA4" w:rsidRPr="007C5321">
          <w:rPr>
            <w:rStyle w:val="Hyperlink"/>
          </w:rPr>
          <w:t>https://policies.fad.harvard.edu/pages/independent-contractors</w:t>
        </w:r>
      </w:hyperlink>
      <w:r w:rsidR="00D23AA4">
        <w:t xml:space="preserve">. </w:t>
      </w:r>
      <w:r>
        <w:t xml:space="preserve"> Samples of OGC</w:t>
      </w:r>
      <w:r w:rsidR="00D23AA4">
        <w:t xml:space="preserve"> </w:t>
      </w:r>
      <w:r>
        <w:t xml:space="preserve">approved contract wording can be found at </w:t>
      </w:r>
      <w:r>
        <w:rPr>
          <w:color w:val="0000FF"/>
          <w:u w:val="single" w:color="0000FF"/>
        </w:rPr>
        <w:t>http://www.ogc.harvard.edu/</w:t>
      </w:r>
      <w:r>
        <w:rPr>
          <w:color w:val="0000FF"/>
        </w:rPr>
        <w:t xml:space="preserve"> </w:t>
      </w:r>
      <w:r>
        <w:t>under Model Documents (PIN</w:t>
      </w:r>
      <w:r w:rsidR="00D23AA4">
        <w:t xml:space="preserve"> </w:t>
      </w:r>
      <w:r>
        <w:t xml:space="preserve">protected site). </w:t>
      </w:r>
    </w:p>
    <w:p w14:paraId="222642ED" w14:textId="77777777" w:rsidR="008344F6" w:rsidRDefault="004F591C">
      <w:pPr>
        <w:spacing w:after="168"/>
        <w:ind w:left="300" w:firstLine="0"/>
      </w:pPr>
      <w:r>
        <w:t xml:space="preserve"> </w:t>
      </w:r>
    </w:p>
    <w:p w14:paraId="30E2474E" w14:textId="77777777" w:rsidR="008344F6" w:rsidRDefault="004F591C">
      <w:pPr>
        <w:pStyle w:val="Heading3"/>
        <w:ind w:left="295"/>
      </w:pPr>
      <w:r>
        <w:rPr>
          <w:rFonts w:ascii="Arial" w:eastAsia="Arial" w:hAnsi="Arial" w:cs="Arial"/>
        </w:rPr>
        <w:t>G.</w:t>
      </w:r>
      <w:r>
        <w:rPr>
          <w:rFonts w:ascii="Arial" w:eastAsia="Arial" w:hAnsi="Arial" w:cs="Arial"/>
          <w:u w:val="none"/>
        </w:rPr>
        <w:t xml:space="preserve"> </w:t>
      </w:r>
      <w:r>
        <w:t>Gifts and Other</w:t>
      </w:r>
      <w:r>
        <w:rPr>
          <w:u w:val="none"/>
        </w:rPr>
        <w:t xml:space="preserve"> </w:t>
      </w:r>
    </w:p>
    <w:p w14:paraId="73D64091" w14:textId="77777777" w:rsidR="008344F6" w:rsidRDefault="004F591C">
      <w:pPr>
        <w:spacing w:line="336" w:lineRule="auto"/>
        <w:ind w:left="295"/>
      </w:pPr>
      <w:r>
        <w:t xml:space="preserve">The FAS prohibits the use of faculty support funds for gifts (employee and non-employee), donations, flowers, parties, and/or any costs unrelated to faculty research or scholarly activities. </w:t>
      </w:r>
    </w:p>
    <w:p w14:paraId="7D77F495" w14:textId="77777777" w:rsidR="008344F6" w:rsidRDefault="004F591C">
      <w:pPr>
        <w:spacing w:after="85"/>
        <w:ind w:left="301" w:firstLine="0"/>
      </w:pPr>
      <w:r>
        <w:t xml:space="preserve"> </w:t>
      </w:r>
    </w:p>
    <w:p w14:paraId="7DEEE658" w14:textId="77777777" w:rsidR="008344F6" w:rsidRDefault="004F591C">
      <w:pPr>
        <w:spacing w:after="80"/>
        <w:ind w:left="295"/>
      </w:pPr>
      <w:r>
        <w:rPr>
          <w:rFonts w:ascii="Arial" w:eastAsia="Arial" w:hAnsi="Arial" w:cs="Arial"/>
          <w:b/>
          <w:u w:val="single" w:color="000000"/>
        </w:rPr>
        <w:t>H.</w:t>
      </w:r>
      <w:r>
        <w:rPr>
          <w:rFonts w:ascii="Arial" w:eastAsia="Arial" w:hAnsi="Arial" w:cs="Arial"/>
          <w:b/>
        </w:rPr>
        <w:t xml:space="preserve"> </w:t>
      </w:r>
      <w:r>
        <w:rPr>
          <w:b/>
        </w:rPr>
        <w:t>Deficits of Faculty Support Funds</w:t>
      </w:r>
      <w:r>
        <w:t xml:space="preserve"> </w:t>
      </w:r>
    </w:p>
    <w:p w14:paraId="5107C5AA" w14:textId="349D2DCF" w:rsidR="008344F6" w:rsidRDefault="004F591C">
      <w:pPr>
        <w:spacing w:line="336" w:lineRule="auto"/>
        <w:ind w:left="295"/>
      </w:pPr>
      <w:r>
        <w:t xml:space="preserve">Overspending of Faculty support funds becomes the personal responsibility of the </w:t>
      </w:r>
      <w:r w:rsidR="00E548F3">
        <w:t>faculty</w:t>
      </w:r>
      <w:r>
        <w:t xml:space="preserve"> member.  It is important for the </w:t>
      </w:r>
      <w:r w:rsidR="00E548F3">
        <w:t>faculty</w:t>
      </w:r>
      <w:r>
        <w:t xml:space="preserve"> member or their designee to monitor the balances throughout the year.  In FinReport </w:t>
      </w:r>
      <w:r w:rsidR="00D23AA4" w:rsidRPr="009B5A40">
        <w:t>(</w:t>
      </w:r>
      <w:r w:rsidR="00D23AA4" w:rsidRPr="00D23AA4">
        <w:rPr>
          <w:rFonts w:eastAsia="Arial" w:cs="Arial"/>
        </w:rPr>
        <w:t>https://finreport.fas.harvard.edu/ivyprd/</w:t>
      </w:r>
      <w:r w:rsidR="00D23AA4" w:rsidRPr="009B5A40">
        <w:t>)</w:t>
      </w:r>
      <w:r w:rsidR="00D23AA4">
        <w:t xml:space="preserve"> </w:t>
      </w:r>
      <w:r>
        <w:t xml:space="preserve">the Faculty Start Up Spending Report provides a snapshot of the Start Up balance at any time. </w:t>
      </w:r>
    </w:p>
    <w:p w14:paraId="3236E2CD" w14:textId="77777777" w:rsidR="008344F6" w:rsidRDefault="004F591C">
      <w:pPr>
        <w:spacing w:after="5"/>
        <w:ind w:left="300" w:firstLine="0"/>
      </w:pPr>
      <w:r>
        <w:t xml:space="preserve"> </w:t>
      </w:r>
    </w:p>
    <w:p w14:paraId="7EA7965B" w14:textId="77777777" w:rsidR="008344F6" w:rsidRDefault="004F591C">
      <w:pPr>
        <w:spacing w:after="0"/>
        <w:ind w:left="0" w:firstLine="0"/>
      </w:pPr>
      <w:r>
        <w:rPr>
          <w:sz w:val="12"/>
        </w:rPr>
        <w:t xml:space="preserve"> </w:t>
      </w:r>
    </w:p>
    <w:p w14:paraId="7E4010A0" w14:textId="77777777" w:rsidR="008344F6" w:rsidRDefault="004F591C">
      <w:pPr>
        <w:spacing w:after="37"/>
        <w:ind w:left="201" w:right="-105" w:firstLine="0"/>
      </w:pPr>
      <w:r>
        <w:rPr>
          <w:rFonts w:ascii="Calibri" w:eastAsia="Calibri" w:hAnsi="Calibri" w:cs="Calibri"/>
          <w:noProof/>
          <w:sz w:val="22"/>
        </w:rPr>
        <mc:AlternateContent>
          <mc:Choice Requires="wpg">
            <w:drawing>
              <wp:inline distT="0" distB="0" distL="0" distR="0" wp14:anchorId="2950637C" wp14:editId="0C0553FB">
                <wp:extent cx="6057900" cy="57150"/>
                <wp:effectExtent l="0" t="0" r="0" b="0"/>
                <wp:docPr id="3663" name="Group 3663"/>
                <wp:cNvGraphicFramePr/>
                <a:graphic xmlns:a="http://schemas.openxmlformats.org/drawingml/2006/main">
                  <a:graphicData uri="http://schemas.microsoft.com/office/word/2010/wordprocessingGroup">
                    <wpg:wgp>
                      <wpg:cNvGrpSpPr/>
                      <wpg:grpSpPr>
                        <a:xfrm>
                          <a:off x="0" y="0"/>
                          <a:ext cx="6057900" cy="57150"/>
                          <a:chOff x="0" y="0"/>
                          <a:chExt cx="6057900" cy="57150"/>
                        </a:xfrm>
                      </wpg:grpSpPr>
                      <wps:wsp>
                        <wps:cNvPr id="4636" name="Shape 4636"/>
                        <wps:cNvSpPr/>
                        <wps:spPr>
                          <a:xfrm>
                            <a:off x="0" y="22860"/>
                            <a:ext cx="6057900" cy="34290"/>
                          </a:xfrm>
                          <a:custGeom>
                            <a:avLst/>
                            <a:gdLst/>
                            <a:ahLst/>
                            <a:cxnLst/>
                            <a:rect l="0" t="0" r="0" b="0"/>
                            <a:pathLst>
                              <a:path w="6057900" h="34290">
                                <a:moveTo>
                                  <a:pt x="0" y="0"/>
                                </a:moveTo>
                                <a:lnTo>
                                  <a:pt x="6057900" y="0"/>
                                </a:lnTo>
                                <a:lnTo>
                                  <a:pt x="60579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37" name="Shape 4637"/>
                        <wps:cNvSpPr/>
                        <wps:spPr>
                          <a:xfrm>
                            <a:off x="0" y="0"/>
                            <a:ext cx="6057900" cy="11430"/>
                          </a:xfrm>
                          <a:custGeom>
                            <a:avLst/>
                            <a:gdLst/>
                            <a:ahLst/>
                            <a:cxnLst/>
                            <a:rect l="0" t="0" r="0" b="0"/>
                            <a:pathLst>
                              <a:path w="6057900" h="11430">
                                <a:moveTo>
                                  <a:pt x="0" y="0"/>
                                </a:moveTo>
                                <a:lnTo>
                                  <a:pt x="6057900" y="0"/>
                                </a:lnTo>
                                <a:lnTo>
                                  <a:pt x="60579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3" style="width:477pt;height:4.5pt;mso-position-horizontal-relative:char;mso-position-vertical-relative:line" coordsize="60579,571">
                <v:shape id="Shape 4638" style="position:absolute;width:60579;height:342;left:0;top:228;" coordsize="6057900,34290" path="m0,0l6057900,0l6057900,34290l0,34290l0,0">
                  <v:stroke weight="0pt" endcap="flat" joinstyle="miter" miterlimit="10" on="false" color="#000000" opacity="0"/>
                  <v:fill on="true" color="#000000"/>
                </v:shape>
                <v:shape id="Shape 4639" style="position:absolute;width:60579;height:114;left:0;top:0;" coordsize="6057900,11430" path="m0,0l6057900,0l6057900,11430l0,11430l0,0">
                  <v:stroke weight="0pt" endcap="flat" joinstyle="miter" miterlimit="10" on="false" color="#000000" opacity="0"/>
                  <v:fill on="true" color="#000000"/>
                </v:shape>
              </v:group>
            </w:pict>
          </mc:Fallback>
        </mc:AlternateContent>
      </w:r>
    </w:p>
    <w:p w14:paraId="7ACAB5CB" w14:textId="77777777" w:rsidR="008344F6" w:rsidRDefault="004F591C">
      <w:pPr>
        <w:spacing w:after="104"/>
        <w:ind w:left="0" w:firstLine="0"/>
      </w:pPr>
      <w:r>
        <w:rPr>
          <w:sz w:val="22"/>
        </w:rPr>
        <w:t xml:space="preserve"> </w:t>
      </w:r>
    </w:p>
    <w:p w14:paraId="4DAD2DB2" w14:textId="77777777" w:rsidR="008344F6" w:rsidRDefault="004F591C">
      <w:pPr>
        <w:pStyle w:val="Heading2"/>
        <w:ind w:left="295"/>
      </w:pPr>
      <w:r>
        <w:rPr>
          <w:rFonts w:ascii="Arial" w:eastAsia="Arial" w:hAnsi="Arial" w:cs="Arial"/>
        </w:rPr>
        <w:t>III.</w:t>
      </w:r>
      <w:r>
        <w:rPr>
          <w:rFonts w:ascii="Arial" w:eastAsia="Arial" w:hAnsi="Arial" w:cs="Arial"/>
          <w:u w:val="none"/>
        </w:rPr>
        <w:t xml:space="preserve"> </w:t>
      </w:r>
      <w:r>
        <w:t>Roles &amp; Responsibilities</w:t>
      </w:r>
      <w:r>
        <w:rPr>
          <w:u w:val="none"/>
        </w:rPr>
        <w:t xml:space="preserve"> </w:t>
      </w:r>
    </w:p>
    <w:p w14:paraId="07BEF6BC" w14:textId="77777777" w:rsidR="008344F6" w:rsidRDefault="004F591C">
      <w:pPr>
        <w:ind w:left="295"/>
      </w:pPr>
      <w:r>
        <w:rPr>
          <w:b/>
        </w:rPr>
        <w:t xml:space="preserve">The faculty member </w:t>
      </w:r>
      <w:r>
        <w:t xml:space="preserve">or his/her designee is responsible for: </w:t>
      </w:r>
    </w:p>
    <w:p w14:paraId="440C4172" w14:textId="77777777" w:rsidR="008344F6" w:rsidRDefault="004F591C">
      <w:pPr>
        <w:numPr>
          <w:ilvl w:val="0"/>
          <w:numId w:val="3"/>
        </w:numPr>
        <w:ind w:hanging="362"/>
      </w:pPr>
      <w:r>
        <w:t xml:space="preserve">Ensuring that expenses charged to faculty support funds are in accordance with this policy,  </w:t>
      </w:r>
    </w:p>
    <w:p w14:paraId="25378044" w14:textId="77777777" w:rsidR="008344F6" w:rsidRDefault="004F591C">
      <w:pPr>
        <w:numPr>
          <w:ilvl w:val="0"/>
          <w:numId w:val="3"/>
        </w:numPr>
        <w:ind w:hanging="362"/>
      </w:pPr>
      <w:r>
        <w:t xml:space="preserve">Monitoring Faculty support fund balances and reimbursing Harvard for any deficits, and  </w:t>
      </w:r>
    </w:p>
    <w:p w14:paraId="5D407FFA" w14:textId="77777777" w:rsidR="008344F6" w:rsidRDefault="004F591C">
      <w:pPr>
        <w:numPr>
          <w:ilvl w:val="0"/>
          <w:numId w:val="3"/>
        </w:numPr>
        <w:spacing w:after="107"/>
        <w:ind w:hanging="362"/>
      </w:pPr>
      <w:r>
        <w:t xml:space="preserve">Consulting with the department administrator on any questions about this policy. </w:t>
      </w:r>
    </w:p>
    <w:p w14:paraId="0E7A7A68" w14:textId="77777777" w:rsidR="008344F6" w:rsidRDefault="004F591C">
      <w:pPr>
        <w:spacing w:after="0"/>
        <w:ind w:left="0" w:firstLine="0"/>
      </w:pPr>
      <w:r>
        <w:rPr>
          <w:sz w:val="35"/>
        </w:rPr>
        <w:t xml:space="preserve"> </w:t>
      </w:r>
    </w:p>
    <w:p w14:paraId="0BB6A06E" w14:textId="77777777" w:rsidR="008344F6" w:rsidRDefault="004F591C">
      <w:pPr>
        <w:spacing w:after="80"/>
        <w:ind w:left="295"/>
      </w:pPr>
      <w:r>
        <w:rPr>
          <w:b/>
        </w:rPr>
        <w:t xml:space="preserve">The department administrator </w:t>
      </w:r>
      <w:r>
        <w:t xml:space="preserve">is responsible for: </w:t>
      </w:r>
    </w:p>
    <w:p w14:paraId="78355BB9" w14:textId="77777777" w:rsidR="008344F6" w:rsidRDefault="004F591C">
      <w:pPr>
        <w:numPr>
          <w:ilvl w:val="0"/>
          <w:numId w:val="3"/>
        </w:numPr>
        <w:ind w:hanging="362"/>
      </w:pPr>
      <w:r>
        <w:t xml:space="preserve">Ensuring the appropriate preparation and approval of requests, </w:t>
      </w:r>
    </w:p>
    <w:p w14:paraId="320CB827" w14:textId="77777777" w:rsidR="008344F6" w:rsidRDefault="004F591C">
      <w:pPr>
        <w:numPr>
          <w:ilvl w:val="0"/>
          <w:numId w:val="3"/>
        </w:numPr>
        <w:ind w:hanging="362"/>
      </w:pPr>
      <w:r>
        <w:t xml:space="preserve">Maintaining an inventory of all durable assets, and </w:t>
      </w:r>
    </w:p>
    <w:p w14:paraId="2D017208" w14:textId="77777777" w:rsidR="008344F6" w:rsidRDefault="004F591C">
      <w:pPr>
        <w:numPr>
          <w:ilvl w:val="0"/>
          <w:numId w:val="3"/>
        </w:numPr>
        <w:spacing w:after="107"/>
        <w:ind w:hanging="362"/>
      </w:pPr>
      <w:r>
        <w:t xml:space="preserve">Raising questions about whether expenses are allowable with the FAS Office of Finance. </w:t>
      </w:r>
    </w:p>
    <w:p w14:paraId="2B8069C9" w14:textId="77777777" w:rsidR="008344F6" w:rsidRDefault="004F591C">
      <w:pPr>
        <w:spacing w:after="0"/>
        <w:ind w:left="0" w:firstLine="0"/>
      </w:pPr>
      <w:r>
        <w:rPr>
          <w:sz w:val="35"/>
        </w:rPr>
        <w:t xml:space="preserve"> </w:t>
      </w:r>
    </w:p>
    <w:p w14:paraId="7867056E" w14:textId="77777777" w:rsidR="008344F6" w:rsidRDefault="004F591C">
      <w:pPr>
        <w:spacing w:after="80"/>
        <w:ind w:left="295"/>
      </w:pPr>
      <w:r>
        <w:rPr>
          <w:b/>
        </w:rPr>
        <w:t xml:space="preserve">The FAS Office of Finance </w:t>
      </w:r>
      <w:r>
        <w:t xml:space="preserve">is responsible for: </w:t>
      </w:r>
    </w:p>
    <w:p w14:paraId="23483CC2" w14:textId="77777777" w:rsidR="008344F6" w:rsidRDefault="004F591C">
      <w:pPr>
        <w:numPr>
          <w:ilvl w:val="0"/>
          <w:numId w:val="3"/>
        </w:numPr>
        <w:spacing w:after="22" w:line="328" w:lineRule="auto"/>
        <w:ind w:hanging="362"/>
      </w:pPr>
      <w:r>
        <w:t xml:space="preserve">Ensuring that expenses charged to faculty support funds are fair and equitable to the individual and the University, and </w:t>
      </w:r>
    </w:p>
    <w:p w14:paraId="254F9241" w14:textId="77777777" w:rsidR="008344F6" w:rsidRDefault="004F591C">
      <w:pPr>
        <w:numPr>
          <w:ilvl w:val="0"/>
          <w:numId w:val="3"/>
        </w:numPr>
        <w:spacing w:after="0"/>
        <w:ind w:hanging="362"/>
      </w:pPr>
      <w:r>
        <w:t>Ensuring that expenses are made in accordance with this policy and external regulations</w:t>
      </w:r>
      <w:r>
        <w:rPr>
          <w:b/>
        </w:rPr>
        <w:t xml:space="preserve">. </w:t>
      </w:r>
    </w:p>
    <w:p w14:paraId="78AA8ECB" w14:textId="77777777" w:rsidR="008344F6" w:rsidRDefault="004F591C">
      <w:pPr>
        <w:spacing w:after="0"/>
        <w:ind w:left="0" w:firstLine="0"/>
      </w:pPr>
      <w:r>
        <w:rPr>
          <w:b/>
          <w:sz w:val="18"/>
        </w:rPr>
        <w:t xml:space="preserve"> </w:t>
      </w:r>
    </w:p>
    <w:p w14:paraId="4234F104" w14:textId="77777777" w:rsidR="008344F6" w:rsidRDefault="004F591C">
      <w:pPr>
        <w:spacing w:after="68"/>
        <w:ind w:left="201" w:right="-105" w:firstLine="0"/>
      </w:pPr>
      <w:r>
        <w:rPr>
          <w:rFonts w:ascii="Calibri" w:eastAsia="Calibri" w:hAnsi="Calibri" w:cs="Calibri"/>
          <w:noProof/>
          <w:sz w:val="22"/>
        </w:rPr>
        <mc:AlternateContent>
          <mc:Choice Requires="wpg">
            <w:drawing>
              <wp:inline distT="0" distB="0" distL="0" distR="0" wp14:anchorId="4373860C" wp14:editId="41EA473C">
                <wp:extent cx="6057900" cy="57150"/>
                <wp:effectExtent l="0" t="0" r="0" b="0"/>
                <wp:docPr id="3664" name="Group 3664"/>
                <wp:cNvGraphicFramePr/>
                <a:graphic xmlns:a="http://schemas.openxmlformats.org/drawingml/2006/main">
                  <a:graphicData uri="http://schemas.microsoft.com/office/word/2010/wordprocessingGroup">
                    <wpg:wgp>
                      <wpg:cNvGrpSpPr/>
                      <wpg:grpSpPr>
                        <a:xfrm>
                          <a:off x="0" y="0"/>
                          <a:ext cx="6057900" cy="57150"/>
                          <a:chOff x="0" y="0"/>
                          <a:chExt cx="6057900" cy="57150"/>
                        </a:xfrm>
                      </wpg:grpSpPr>
                      <wps:wsp>
                        <wps:cNvPr id="4640" name="Shape 4640"/>
                        <wps:cNvSpPr/>
                        <wps:spPr>
                          <a:xfrm>
                            <a:off x="0" y="22860"/>
                            <a:ext cx="6057900" cy="34290"/>
                          </a:xfrm>
                          <a:custGeom>
                            <a:avLst/>
                            <a:gdLst/>
                            <a:ahLst/>
                            <a:cxnLst/>
                            <a:rect l="0" t="0" r="0" b="0"/>
                            <a:pathLst>
                              <a:path w="6057900" h="34290">
                                <a:moveTo>
                                  <a:pt x="0" y="0"/>
                                </a:moveTo>
                                <a:lnTo>
                                  <a:pt x="6057900" y="0"/>
                                </a:lnTo>
                                <a:lnTo>
                                  <a:pt x="6057900"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 name="Shape 4641"/>
                        <wps:cNvSpPr/>
                        <wps:spPr>
                          <a:xfrm>
                            <a:off x="0" y="0"/>
                            <a:ext cx="6057900" cy="11430"/>
                          </a:xfrm>
                          <a:custGeom>
                            <a:avLst/>
                            <a:gdLst/>
                            <a:ahLst/>
                            <a:cxnLst/>
                            <a:rect l="0" t="0" r="0" b="0"/>
                            <a:pathLst>
                              <a:path w="6057900" h="11430">
                                <a:moveTo>
                                  <a:pt x="0" y="0"/>
                                </a:moveTo>
                                <a:lnTo>
                                  <a:pt x="6057900" y="0"/>
                                </a:lnTo>
                                <a:lnTo>
                                  <a:pt x="6057900"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4" style="width:477pt;height:4.5pt;mso-position-horizontal-relative:char;mso-position-vertical-relative:line" coordsize="60579,571">
                <v:shape id="Shape 4642" style="position:absolute;width:60579;height:342;left:0;top:228;" coordsize="6057900,34290" path="m0,0l6057900,0l6057900,34290l0,34290l0,0">
                  <v:stroke weight="0pt" endcap="flat" joinstyle="miter" miterlimit="10" on="false" color="#000000" opacity="0"/>
                  <v:fill on="true" color="#000000"/>
                </v:shape>
                <v:shape id="Shape 4643" style="position:absolute;width:60579;height:114;left:0;top:0;" coordsize="6057900,11430" path="m0,0l6057900,0l6057900,11430l0,11430l0,0">
                  <v:stroke weight="0pt" endcap="flat" joinstyle="miter" miterlimit="10" on="false" color="#000000" opacity="0"/>
                  <v:fill on="true" color="#000000"/>
                </v:shape>
              </v:group>
            </w:pict>
          </mc:Fallback>
        </mc:AlternateContent>
      </w:r>
    </w:p>
    <w:p w14:paraId="040EF641" w14:textId="77777777" w:rsidR="008344F6" w:rsidRDefault="004F591C">
      <w:pPr>
        <w:spacing w:after="0"/>
        <w:ind w:left="0" w:firstLine="0"/>
      </w:pPr>
      <w:r>
        <w:rPr>
          <w:b/>
          <w:sz w:val="35"/>
        </w:rPr>
        <w:t xml:space="preserve"> </w:t>
      </w:r>
    </w:p>
    <w:p w14:paraId="4D09E03F" w14:textId="77777777" w:rsidR="008344F6" w:rsidRDefault="004F591C">
      <w:pPr>
        <w:pStyle w:val="Heading2"/>
        <w:ind w:left="295"/>
      </w:pPr>
      <w:r>
        <w:rPr>
          <w:rFonts w:ascii="Arial" w:eastAsia="Arial" w:hAnsi="Arial" w:cs="Arial"/>
        </w:rPr>
        <w:t>IV.</w:t>
      </w:r>
      <w:r>
        <w:rPr>
          <w:rFonts w:ascii="Arial" w:eastAsia="Arial" w:hAnsi="Arial" w:cs="Arial"/>
          <w:u w:val="none"/>
        </w:rPr>
        <w:t xml:space="preserve"> </w:t>
      </w:r>
      <w:r>
        <w:t>Contacts</w:t>
      </w:r>
      <w:r>
        <w:rPr>
          <w:u w:val="none"/>
        </w:rPr>
        <w:t xml:space="preserve"> </w:t>
      </w:r>
    </w:p>
    <w:p w14:paraId="0EECB96A" w14:textId="77777777" w:rsidR="008344F6" w:rsidRDefault="004F591C">
      <w:pPr>
        <w:ind w:left="295"/>
      </w:pPr>
      <w:r>
        <w:t>If you have any questions regarding this policy, please</w:t>
      </w:r>
      <w:r>
        <w:rPr>
          <w:rFonts w:ascii="Arial" w:eastAsia="Arial" w:hAnsi="Arial" w:cs="Arial"/>
        </w:rPr>
        <w:t xml:space="preserve"> </w:t>
      </w:r>
      <w:r w:rsidRPr="00D23AA4">
        <w:rPr>
          <w:rFonts w:eastAsia="Arial" w:cs="Arial"/>
        </w:rPr>
        <w:t xml:space="preserve">contact Sue Rose at </w:t>
      </w:r>
      <w:r w:rsidRPr="00D23AA4">
        <w:rPr>
          <w:rFonts w:eastAsia="Arial" w:cs="Arial"/>
          <w:color w:val="0000FF"/>
          <w:u w:val="single" w:color="0000FF"/>
        </w:rPr>
        <w:t>srose@harvard.edu</w:t>
      </w:r>
      <w:r w:rsidRPr="00D23AA4">
        <w:rPr>
          <w:rFonts w:eastAsia="Arial" w:cs="Arial"/>
        </w:rPr>
        <w:t>.</w:t>
      </w:r>
      <w:r>
        <w:rPr>
          <w:rFonts w:ascii="Arial" w:eastAsia="Arial" w:hAnsi="Arial" w:cs="Arial"/>
        </w:rPr>
        <w:t xml:space="preserve"> </w:t>
      </w:r>
    </w:p>
    <w:sectPr w:rsidR="008344F6">
      <w:type w:val="continuous"/>
      <w:pgSz w:w="12240" w:h="15840"/>
      <w:pgMar w:top="1395" w:right="1824" w:bottom="1041"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3178" w14:textId="77777777" w:rsidR="00AE0F34" w:rsidRDefault="00AE0F34">
      <w:pPr>
        <w:spacing w:after="0" w:line="240" w:lineRule="auto"/>
      </w:pPr>
      <w:r>
        <w:separator/>
      </w:r>
    </w:p>
  </w:endnote>
  <w:endnote w:type="continuationSeparator" w:id="0">
    <w:p w14:paraId="37AA5E9B" w14:textId="77777777" w:rsidR="00AE0F34" w:rsidRDefault="00AE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B55" w14:textId="77777777" w:rsidR="008344F6" w:rsidRDefault="004F591C">
    <w:pPr>
      <w:tabs>
        <w:tab w:val="center" w:pos="4799"/>
      </w:tabs>
      <w:spacing w:after="0"/>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63D5" w14:textId="77777777" w:rsidR="008344F6" w:rsidRDefault="004F591C">
    <w:pPr>
      <w:tabs>
        <w:tab w:val="center" w:pos="4799"/>
      </w:tabs>
      <w:spacing w:after="0"/>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7AD4" w14:textId="77777777" w:rsidR="008344F6" w:rsidRDefault="004F591C">
    <w:pPr>
      <w:tabs>
        <w:tab w:val="center" w:pos="4799"/>
      </w:tabs>
      <w:spacing w:after="0"/>
      <w:ind w:left="0"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7325" w14:textId="77777777" w:rsidR="00AE0F34" w:rsidRDefault="00AE0F34">
      <w:pPr>
        <w:spacing w:after="0" w:line="240" w:lineRule="auto"/>
      </w:pPr>
      <w:r>
        <w:separator/>
      </w:r>
    </w:p>
  </w:footnote>
  <w:footnote w:type="continuationSeparator" w:id="0">
    <w:p w14:paraId="6D787286" w14:textId="77777777" w:rsidR="00AE0F34" w:rsidRDefault="00AE0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734"/>
    <w:multiLevelType w:val="hybridMultilevel"/>
    <w:tmpl w:val="F3E4281A"/>
    <w:lvl w:ilvl="0" w:tplc="F6860DD8">
      <w:start w:val="1"/>
      <w:numFmt w:val="bullet"/>
      <w:lvlText w:val="•"/>
      <w:lvlJc w:val="left"/>
      <w:pPr>
        <w:ind w:left="1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0EF068">
      <w:start w:val="1"/>
      <w:numFmt w:val="bullet"/>
      <w:lvlText w:val="o"/>
      <w:lvlJc w:val="left"/>
      <w:pPr>
        <w:ind w:left="1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A05B68">
      <w:start w:val="1"/>
      <w:numFmt w:val="bullet"/>
      <w:lvlText w:val="▪"/>
      <w:lvlJc w:val="left"/>
      <w:pPr>
        <w:ind w:left="2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403970">
      <w:start w:val="1"/>
      <w:numFmt w:val="bullet"/>
      <w:lvlText w:val="•"/>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2356C">
      <w:start w:val="1"/>
      <w:numFmt w:val="bullet"/>
      <w:lvlText w:val="o"/>
      <w:lvlJc w:val="left"/>
      <w:pPr>
        <w:ind w:left="3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D437B0">
      <w:start w:val="1"/>
      <w:numFmt w:val="bullet"/>
      <w:lvlText w:val="▪"/>
      <w:lvlJc w:val="left"/>
      <w:pPr>
        <w:ind w:left="4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FCE608">
      <w:start w:val="1"/>
      <w:numFmt w:val="bullet"/>
      <w:lvlText w:val="•"/>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009EA">
      <w:start w:val="1"/>
      <w:numFmt w:val="bullet"/>
      <w:lvlText w:val="o"/>
      <w:lvlJc w:val="left"/>
      <w:pPr>
        <w:ind w:left="6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C4894">
      <w:start w:val="1"/>
      <w:numFmt w:val="bullet"/>
      <w:lvlText w:val="▪"/>
      <w:lvlJc w:val="left"/>
      <w:pPr>
        <w:ind w:left="6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D613B9"/>
    <w:multiLevelType w:val="hybridMultilevel"/>
    <w:tmpl w:val="9EF25832"/>
    <w:lvl w:ilvl="0" w:tplc="F00A6A3C">
      <w:start w:val="1"/>
      <w:numFmt w:val="bullet"/>
      <w:lvlText w:val="•"/>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6C958">
      <w:start w:val="1"/>
      <w:numFmt w:val="bullet"/>
      <w:lvlText w:val="o"/>
      <w:lvlJc w:val="left"/>
      <w:pPr>
        <w:ind w:left="17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2A5AC2">
      <w:start w:val="1"/>
      <w:numFmt w:val="bullet"/>
      <w:lvlText w:val="▪"/>
      <w:lvlJc w:val="left"/>
      <w:pPr>
        <w:ind w:left="2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903FEC">
      <w:start w:val="1"/>
      <w:numFmt w:val="bullet"/>
      <w:lvlText w:val="•"/>
      <w:lvlJc w:val="left"/>
      <w:pPr>
        <w:ind w:left="3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7E3084">
      <w:start w:val="1"/>
      <w:numFmt w:val="bullet"/>
      <w:lvlText w:val="o"/>
      <w:lvlJc w:val="left"/>
      <w:pPr>
        <w:ind w:left="3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0CB4C">
      <w:start w:val="1"/>
      <w:numFmt w:val="bullet"/>
      <w:lvlText w:val="▪"/>
      <w:lvlJc w:val="left"/>
      <w:pPr>
        <w:ind w:left="4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62CB6E">
      <w:start w:val="1"/>
      <w:numFmt w:val="bullet"/>
      <w:lvlText w:val="•"/>
      <w:lvlJc w:val="left"/>
      <w:pPr>
        <w:ind w:left="5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68DA28">
      <w:start w:val="1"/>
      <w:numFmt w:val="bullet"/>
      <w:lvlText w:val="o"/>
      <w:lvlJc w:val="left"/>
      <w:pPr>
        <w:ind w:left="6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5CF232">
      <w:start w:val="1"/>
      <w:numFmt w:val="bullet"/>
      <w:lvlText w:val="▪"/>
      <w:lvlJc w:val="left"/>
      <w:pPr>
        <w:ind w:left="6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445E8E"/>
    <w:multiLevelType w:val="hybridMultilevel"/>
    <w:tmpl w:val="57A4B574"/>
    <w:lvl w:ilvl="0" w:tplc="CCC416D6">
      <w:start w:val="1"/>
      <w:numFmt w:val="upperRoman"/>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F891D8">
      <w:start w:val="1"/>
      <w:numFmt w:val="upperLetter"/>
      <w:lvlText w:val="%2."/>
      <w:lvlJc w:val="left"/>
      <w:pPr>
        <w:ind w:left="1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49E1A">
      <w:start w:val="1"/>
      <w:numFmt w:val="lowerRoman"/>
      <w:lvlText w:val="%3"/>
      <w:lvlJc w:val="left"/>
      <w:pPr>
        <w:ind w:left="2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225544">
      <w:start w:val="1"/>
      <w:numFmt w:val="decimal"/>
      <w:lvlText w:val="%4"/>
      <w:lvlJc w:val="left"/>
      <w:pPr>
        <w:ind w:left="2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4794E">
      <w:start w:val="1"/>
      <w:numFmt w:val="lowerLetter"/>
      <w:lvlText w:val="%5"/>
      <w:lvlJc w:val="left"/>
      <w:pPr>
        <w:ind w:left="3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42165C">
      <w:start w:val="1"/>
      <w:numFmt w:val="lowerRoman"/>
      <w:lvlText w:val="%6"/>
      <w:lvlJc w:val="left"/>
      <w:pPr>
        <w:ind w:left="4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784F10">
      <w:start w:val="1"/>
      <w:numFmt w:val="decimal"/>
      <w:lvlText w:val="%7"/>
      <w:lvlJc w:val="left"/>
      <w:pPr>
        <w:ind w:left="5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44872">
      <w:start w:val="1"/>
      <w:numFmt w:val="lowerLetter"/>
      <w:lvlText w:val="%8"/>
      <w:lvlJc w:val="left"/>
      <w:pPr>
        <w:ind w:left="5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49DF6">
      <w:start w:val="1"/>
      <w:numFmt w:val="lowerRoman"/>
      <w:lvlText w:val="%9"/>
      <w:lvlJc w:val="left"/>
      <w:pPr>
        <w:ind w:left="6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4F6"/>
    <w:rsid w:val="000874B1"/>
    <w:rsid w:val="00276B94"/>
    <w:rsid w:val="00327D2B"/>
    <w:rsid w:val="003613F9"/>
    <w:rsid w:val="004F591C"/>
    <w:rsid w:val="006B7AE6"/>
    <w:rsid w:val="006C6F53"/>
    <w:rsid w:val="007950F2"/>
    <w:rsid w:val="008344F6"/>
    <w:rsid w:val="00843B5F"/>
    <w:rsid w:val="00A80F7A"/>
    <w:rsid w:val="00AE0F34"/>
    <w:rsid w:val="00D23AA4"/>
    <w:rsid w:val="00E548F3"/>
    <w:rsid w:val="00FB5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8581"/>
  <w15:docId w15:val="{AA30C79C-78F2-42C4-B7C0-F45791E1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
      <w:ind w:left="310" w:hanging="10"/>
    </w:pPr>
    <w:rPr>
      <w:rFonts w:ascii="Cambria" w:eastAsia="Cambria" w:hAnsi="Cambria" w:cs="Cambria"/>
      <w:color w:val="000000"/>
      <w:sz w:val="20"/>
    </w:rPr>
  </w:style>
  <w:style w:type="paragraph" w:styleId="Heading1">
    <w:name w:val="heading 1"/>
    <w:next w:val="Normal"/>
    <w:link w:val="Heading1Char"/>
    <w:uiPriority w:val="9"/>
    <w:qFormat/>
    <w:pPr>
      <w:keepNext/>
      <w:keepLines/>
      <w:spacing w:after="0"/>
      <w:ind w:left="307" w:right="93"/>
      <w:jc w:val="right"/>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63"/>
      <w:ind w:left="310" w:hanging="10"/>
      <w:outlineLvl w:val="1"/>
    </w:pPr>
    <w:rPr>
      <w:rFonts w:ascii="Cambria" w:eastAsia="Cambria" w:hAnsi="Cambria" w:cs="Cambria"/>
      <w:b/>
      <w:color w:val="000000"/>
      <w:u w:val="single" w:color="000000"/>
    </w:rPr>
  </w:style>
  <w:style w:type="paragraph" w:styleId="Heading3">
    <w:name w:val="heading 3"/>
    <w:next w:val="Normal"/>
    <w:link w:val="Heading3Char"/>
    <w:uiPriority w:val="9"/>
    <w:unhideWhenUsed/>
    <w:qFormat/>
    <w:pPr>
      <w:keepNext/>
      <w:keepLines/>
      <w:spacing w:after="76"/>
      <w:ind w:left="310" w:hanging="10"/>
      <w:outlineLvl w:val="2"/>
    </w:pPr>
    <w:rPr>
      <w:rFonts w:ascii="Cambria" w:eastAsia="Cambria" w:hAnsi="Cambria" w:cs="Cambri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000000"/>
      <w:sz w:val="20"/>
      <w:u w:val="single" w:color="000000"/>
    </w:rPr>
  </w:style>
  <w:style w:type="character" w:customStyle="1" w:styleId="Heading2Char">
    <w:name w:val="Heading 2 Char"/>
    <w:link w:val="Heading2"/>
    <w:rPr>
      <w:rFonts w:ascii="Cambria" w:eastAsia="Cambria" w:hAnsi="Cambria" w:cs="Cambria"/>
      <w:b/>
      <w:color w:val="000000"/>
      <w:sz w:val="22"/>
      <w:u w:val="single" w:color="000000"/>
    </w:rPr>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591C"/>
    <w:rPr>
      <w:color w:val="0563C1"/>
      <w:u w:val="single"/>
    </w:rPr>
  </w:style>
  <w:style w:type="character" w:styleId="UnresolvedMention">
    <w:name w:val="Unresolved Mention"/>
    <w:basedOn w:val="DefaultParagraphFont"/>
    <w:uiPriority w:val="99"/>
    <w:semiHidden/>
    <w:unhideWhenUsed/>
    <w:rsid w:val="00D2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licies.fad.harvard.edu/pages/independent-contra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ies.fad.harvard.edu/pages/travel-0"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Cody</dc:creator>
  <cp:keywords/>
  <cp:lastModifiedBy>Rose, Sue</cp:lastModifiedBy>
  <cp:revision>2</cp:revision>
  <cp:lastPrinted>2021-10-15T18:52:00Z</cp:lastPrinted>
  <dcterms:created xsi:type="dcterms:W3CDTF">2022-06-01T20:36:00Z</dcterms:created>
  <dcterms:modified xsi:type="dcterms:W3CDTF">2022-06-01T20:36:00Z</dcterms:modified>
</cp:coreProperties>
</file>